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4A732" w14:textId="3F83C345" w:rsidR="000D2A2D" w:rsidRDefault="000D2A2D" w:rsidP="000D2A2D">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#131</w:t>
      </w:r>
      <w:r>
        <w:rPr>
          <w:rFonts w:ascii="Arial" w:eastAsia="MS Mincho" w:hAnsi="Arial" w:cs="Arial"/>
          <w:b/>
          <w:sz w:val="24"/>
          <w:lang w:eastAsia="en-US"/>
        </w:rPr>
        <w:tab/>
      </w:r>
      <w:r w:rsidR="004F1954" w:rsidRPr="004F1954">
        <w:rPr>
          <w:rFonts w:ascii="Arial" w:eastAsia="MS Mincho" w:hAnsi="Arial" w:cs="Arial"/>
          <w:b/>
          <w:sz w:val="24"/>
          <w:lang w:eastAsia="en-US"/>
        </w:rPr>
        <w:t>R2-2505523</w:t>
      </w:r>
    </w:p>
    <w:p w14:paraId="10CEF465" w14:textId="77777777" w:rsidR="000D2A2D" w:rsidRDefault="000D2A2D" w:rsidP="000D2A2D">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Bengaluru, India, Aug 25</w:t>
      </w:r>
      <w:r>
        <w:rPr>
          <w:rFonts w:ascii="Arial" w:eastAsia="MS Mincho" w:hAnsi="Arial" w:cs="Arial"/>
          <w:b/>
          <w:sz w:val="24"/>
          <w:vertAlign w:val="superscript"/>
          <w:lang w:eastAsia="en-US"/>
        </w:rPr>
        <w:t>th</w:t>
      </w:r>
      <w:r>
        <w:rPr>
          <w:rFonts w:ascii="Arial" w:eastAsia="MS Mincho" w:hAnsi="Arial" w:cs="Arial"/>
          <w:b/>
          <w:sz w:val="24"/>
          <w:lang w:eastAsia="en-US"/>
        </w:rPr>
        <w:t xml:space="preserve"> –29</w:t>
      </w:r>
      <w:r>
        <w:rPr>
          <w:rFonts w:ascii="Arial" w:eastAsia="MS Mincho" w:hAnsi="Arial" w:cs="Arial"/>
          <w:b/>
          <w:sz w:val="24"/>
          <w:vertAlign w:val="superscript"/>
          <w:lang w:eastAsia="en-US"/>
        </w:rPr>
        <w:t>th</w:t>
      </w:r>
      <w:r>
        <w:rPr>
          <w:rFonts w:ascii="Arial" w:eastAsia="MS Mincho" w:hAnsi="Arial" w:cs="Arial"/>
          <w:b/>
          <w:sz w:val="24"/>
          <w:lang w:eastAsia="en-US"/>
        </w:rPr>
        <w:t>, 2025</w:t>
      </w:r>
    </w:p>
    <w:p w14:paraId="46B9E495" w14:textId="77777777" w:rsidR="00E7595F" w:rsidRPr="000D2A2D" w:rsidRDefault="00E7595F">
      <w:pPr>
        <w:tabs>
          <w:tab w:val="left" w:pos="1701"/>
          <w:tab w:val="right" w:pos="9639"/>
        </w:tabs>
        <w:spacing w:after="240"/>
        <w:textAlignment w:val="auto"/>
        <w:rPr>
          <w:rFonts w:eastAsia="MS Mincho" w:cs="Arial"/>
          <w:b/>
          <w:sz w:val="24"/>
          <w:szCs w:val="24"/>
          <w:lang w:eastAsia="en-US"/>
        </w:rPr>
      </w:pPr>
    </w:p>
    <w:p w14:paraId="6482EFFC" w14:textId="77777777" w:rsidR="00E7595F" w:rsidRDefault="00336EC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8.2.4</w:t>
      </w:r>
    </w:p>
    <w:p w14:paraId="0E3D77CF" w14:textId="77777777" w:rsidR="00E7595F" w:rsidRDefault="00336EC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729EAD5" w14:textId="77777777" w:rsidR="00E7595F" w:rsidRDefault="00336EC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data transmission</w:t>
      </w:r>
    </w:p>
    <w:p w14:paraId="4E22D4C8" w14:textId="77777777" w:rsidR="00E7595F" w:rsidRPr="004F1954" w:rsidRDefault="00336ECE">
      <w:pPr>
        <w:tabs>
          <w:tab w:val="left" w:pos="1985"/>
        </w:tabs>
        <w:textAlignment w:val="auto"/>
        <w:rPr>
          <w:rFonts w:ascii="Arial" w:eastAsia="MS Mincho" w:hAnsi="Arial" w:cs="Arial"/>
          <w:sz w:val="24"/>
          <w:szCs w:val="24"/>
          <w:lang w:eastAsia="en-US"/>
        </w:rPr>
      </w:pPr>
      <w:r>
        <w:rPr>
          <w:rFonts w:ascii="Arial" w:eastAsia="MS Mincho" w:hAnsi="Arial" w:cs="Arial"/>
          <w:b/>
          <w:sz w:val="24"/>
          <w:szCs w:val="24"/>
          <w:lang w:eastAsia="en-US"/>
        </w:rPr>
        <w:t xml:space="preserve">Document for: Discussion and Decision </w:t>
      </w:r>
    </w:p>
    <w:p w14:paraId="2949C99C" w14:textId="77777777" w:rsidR="00E7595F" w:rsidRDefault="00336ECE">
      <w:pPr>
        <w:pStyle w:val="Heading1"/>
        <w:rPr>
          <w:rFonts w:eastAsia="宋体"/>
          <w:lang w:eastAsia="zh-CN"/>
        </w:rPr>
      </w:pPr>
      <w:r>
        <w:rPr>
          <w:rFonts w:eastAsia="宋体"/>
          <w:lang w:eastAsia="zh-CN"/>
        </w:rPr>
        <w:t>1</w:t>
      </w:r>
      <w:r>
        <w:rPr>
          <w:rFonts w:eastAsia="宋体"/>
          <w:lang w:eastAsia="zh-CN"/>
        </w:rPr>
        <w:tab/>
        <w:t>Introduction</w:t>
      </w:r>
    </w:p>
    <w:p w14:paraId="0EC82E0E" w14:textId="77777777" w:rsidR="00E7595F" w:rsidRDefault="00336ECE">
      <w:pPr>
        <w:rPr>
          <w:rFonts w:eastAsiaTheme="minorEastAsia"/>
        </w:rPr>
      </w:pPr>
      <w:bookmarkStart w:id="0" w:name="_Toc61387172"/>
      <w:bookmarkStart w:id="1" w:name="_Toc499559238"/>
      <w:bookmarkStart w:id="2" w:name="_Toc147158671"/>
      <w:bookmarkStart w:id="3" w:name="OLE_LINK134"/>
      <w:r>
        <w:rPr>
          <w:rFonts w:eastAsia="等线"/>
        </w:rPr>
        <w:t>Based on the current RAN2 progress, and focusing on the issues without conclusions, this contribution discusses AS ID release, content of D2R and R2D messages, and forward compatibility issue.</w:t>
      </w:r>
    </w:p>
    <w:p w14:paraId="309B9465" w14:textId="77777777" w:rsidR="00E7595F" w:rsidRDefault="00336ECE">
      <w:pPr>
        <w:pStyle w:val="Heading1"/>
        <w:rPr>
          <w:rFonts w:eastAsia="宋体"/>
          <w:lang w:eastAsia="zh-CN"/>
        </w:rPr>
      </w:pPr>
      <w:r>
        <w:rPr>
          <w:rFonts w:eastAsia="宋体"/>
          <w:lang w:eastAsia="zh-CN"/>
        </w:rPr>
        <w:t>2</w:t>
      </w:r>
      <w:r>
        <w:rPr>
          <w:rFonts w:eastAsia="宋体"/>
          <w:lang w:eastAsia="zh-CN"/>
        </w:rPr>
        <w:tab/>
        <w:t>Discussion</w:t>
      </w:r>
      <w:bookmarkEnd w:id="0"/>
      <w:bookmarkEnd w:id="1"/>
      <w:bookmarkEnd w:id="2"/>
    </w:p>
    <w:p w14:paraId="5B98C134" w14:textId="77777777" w:rsidR="00E7595F" w:rsidRDefault="00336ECE">
      <w:pPr>
        <w:pStyle w:val="Heading2"/>
        <w:rPr>
          <w:rFonts w:eastAsia="宋体"/>
          <w:lang w:eastAsia="zh-CN"/>
        </w:rPr>
      </w:pPr>
      <w:bookmarkStart w:id="4" w:name="_Toc499559239"/>
      <w:bookmarkStart w:id="5" w:name="_Toc61387173"/>
      <w:bookmarkStart w:id="6" w:name="_Toc147158672"/>
      <w:bookmarkEnd w:id="3"/>
      <w:r>
        <w:rPr>
          <w:rFonts w:eastAsia="宋体"/>
          <w:lang w:eastAsia="zh-CN"/>
        </w:rPr>
        <w:t>2.1</w:t>
      </w:r>
      <w:r>
        <w:rPr>
          <w:rFonts w:eastAsia="宋体"/>
          <w:lang w:eastAsia="zh-CN"/>
        </w:rPr>
        <w:tab/>
      </w:r>
      <w:bookmarkEnd w:id="4"/>
      <w:bookmarkEnd w:id="5"/>
      <w:bookmarkEnd w:id="6"/>
      <w:r>
        <w:rPr>
          <w:rFonts w:eastAsia="宋体"/>
          <w:lang w:eastAsia="zh-CN"/>
        </w:rPr>
        <w:t>AS ID release (Issue 3-3)</w:t>
      </w:r>
    </w:p>
    <w:p w14:paraId="0E38D1EB" w14:textId="77777777" w:rsidR="00E7595F" w:rsidRDefault="00336ECE">
      <w:pPr>
        <w:textAlignment w:val="auto"/>
        <w:rPr>
          <w:rFonts w:eastAsia="等线"/>
          <w:lang w:val="en-US" w:eastAsia="zh-CN"/>
        </w:rPr>
      </w:pPr>
      <w:r>
        <w:rPr>
          <w:rFonts w:eastAsia="Malgun Gothic"/>
          <w:lang w:eastAsia="de-DE"/>
        </w:rPr>
        <w:t>In the RAN2#130 meeting, agreements on CFRA paging and AS ID release was achieved:</w:t>
      </w:r>
    </w:p>
    <w:tbl>
      <w:tblPr>
        <w:tblStyle w:val="TableGrid"/>
        <w:tblW w:w="0" w:type="auto"/>
        <w:tblLook w:val="04A0" w:firstRow="1" w:lastRow="0" w:firstColumn="1" w:lastColumn="0" w:noHBand="0" w:noVBand="1"/>
      </w:tblPr>
      <w:tblGrid>
        <w:gridCol w:w="9631"/>
      </w:tblGrid>
      <w:tr w:rsidR="00E7595F" w14:paraId="748F16EA" w14:textId="77777777">
        <w:tc>
          <w:tcPr>
            <w:tcW w:w="9631" w:type="dxa"/>
          </w:tcPr>
          <w:p w14:paraId="34D9D8AC" w14:textId="77777777" w:rsidR="00E7595F" w:rsidRDefault="00336ECE">
            <w:pPr>
              <w:textAlignment w:val="auto"/>
              <w:rPr>
                <w:rFonts w:eastAsia="等线"/>
                <w:b/>
                <w:lang w:val="en-US" w:eastAsia="zh-CN"/>
              </w:rPr>
            </w:pPr>
            <w:r>
              <w:rPr>
                <w:rFonts w:eastAsia="等线"/>
                <w:b/>
                <w:lang w:val="en-US" w:eastAsia="zh-CN"/>
              </w:rPr>
              <w:t>RAN2#130 agreements:</w:t>
            </w:r>
          </w:p>
          <w:p w14:paraId="245A1015" w14:textId="77777777" w:rsidR="00E7595F" w:rsidRDefault="00336ECE">
            <w:pPr>
              <w:pStyle w:val="ListParagraph"/>
              <w:numPr>
                <w:ilvl w:val="0"/>
                <w:numId w:val="8"/>
              </w:numPr>
              <w:ind w:firstLineChars="0"/>
              <w:textAlignment w:val="auto"/>
              <w:rPr>
                <w:rFonts w:eastAsia="等线"/>
                <w:lang w:val="en-US" w:eastAsia="zh-CN"/>
              </w:rPr>
            </w:pPr>
            <w:bookmarkStart w:id="7" w:name="OLE_LINK70"/>
            <w:r>
              <w:rPr>
                <w:rFonts w:eastAsia="等线"/>
                <w:lang w:val="en-US" w:eastAsia="zh-CN"/>
              </w:rPr>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bookmarkEnd w:id="7"/>
          <w:p w14:paraId="2E27C80D" w14:textId="77777777" w:rsidR="00E7595F" w:rsidRDefault="00336ECE">
            <w:pPr>
              <w:pStyle w:val="ListParagraph"/>
              <w:numPr>
                <w:ilvl w:val="0"/>
                <w:numId w:val="8"/>
              </w:numPr>
              <w:ind w:firstLineChars="0"/>
              <w:textAlignment w:val="auto"/>
              <w:rPr>
                <w:rFonts w:eastAsia="等线"/>
                <w:lang w:val="en-US" w:eastAsia="zh-CN"/>
              </w:rPr>
            </w:pPr>
            <w:r>
              <w:rPr>
                <w:rFonts w:eastAsia="等线"/>
                <w:lang w:val="en-US" w:eastAsia="zh-CN"/>
              </w:rPr>
              <w:t xml:space="preserve">For CFRA, as a baseline the fields related to the transaction ID, indication of paging ID present/absent and number of access occasions are absent.  FFS on the need for the transaction ID for command case.  </w:t>
            </w:r>
          </w:p>
          <w:p w14:paraId="47326D12" w14:textId="77777777" w:rsidR="00E7595F" w:rsidRDefault="00336ECE">
            <w:pPr>
              <w:pStyle w:val="ListParagraph"/>
              <w:numPr>
                <w:ilvl w:val="0"/>
                <w:numId w:val="8"/>
              </w:numPr>
              <w:ind w:firstLineChars="0"/>
              <w:rPr>
                <w:rFonts w:eastAsia="等线"/>
                <w:lang w:val="en-US" w:eastAsia="zh-CN"/>
              </w:rPr>
            </w:pPr>
            <w:r>
              <w:rPr>
                <w:rFonts w:eastAsia="等线"/>
                <w:lang w:val="en-US" w:eastAsia="zh-CN"/>
              </w:rPr>
              <w:t xml:space="preserve">For CFRA, the device always responds to paging </w:t>
            </w:r>
            <w:r>
              <w:rPr>
                <w:rFonts w:eastAsia="等线"/>
                <w:highlight w:val="yellow"/>
                <w:lang w:val="en-US" w:eastAsia="zh-CN"/>
              </w:rPr>
              <w:t>regardless of transaction ID</w:t>
            </w:r>
            <w:r>
              <w:rPr>
                <w:rFonts w:eastAsia="等线"/>
                <w:lang w:val="en-US" w:eastAsia="zh-CN"/>
              </w:rPr>
              <w:t xml:space="preserve"> (if we put a transaction ID) (i.e. as long as it is addressed to the corresponding device).  </w:t>
            </w:r>
          </w:p>
        </w:tc>
      </w:tr>
    </w:tbl>
    <w:p w14:paraId="306F04DF" w14:textId="77777777" w:rsidR="00E7595F" w:rsidRDefault="00336ECE">
      <w:pPr>
        <w:textAlignment w:val="auto"/>
        <w:rPr>
          <w:rFonts w:eastAsia="等线"/>
          <w:lang w:val="en-US" w:eastAsia="zh-CN"/>
        </w:rPr>
      </w:pPr>
      <w:r>
        <w:rPr>
          <w:rFonts w:eastAsia="等线"/>
          <w:lang w:val="en-US" w:eastAsia="zh-CN"/>
        </w:rPr>
        <w:t xml:space="preserve">For CFRA, the device always responds to paging regardless of transaction ID (paging with or without transaction ID). This means that every paging is a “new” paging for CFRA. Hence, for CFRA, one device cannot continue the data transmission across the paging message, and there is no need to continue occupying AS ID when the device receives a paging message. The </w:t>
      </w:r>
      <w:r w:rsidRPr="004C0885">
        <w:rPr>
          <w:rFonts w:eastAsia="等线"/>
          <w:lang w:val="en-US" w:eastAsia="zh-CN"/>
        </w:rPr>
        <w:t xml:space="preserve">device </w:t>
      </w:r>
      <w:r w:rsidRPr="004F1954">
        <w:rPr>
          <w:rFonts w:eastAsia="等线"/>
          <w:lang w:val="en-US" w:eastAsia="zh-CN"/>
        </w:rPr>
        <w:t>should release AS ID upon receiving paging in CFRA</w:t>
      </w:r>
      <w:r w:rsidRPr="004C0885">
        <w:rPr>
          <w:rFonts w:eastAsia="等线"/>
          <w:lang w:val="en-US" w:eastAsia="zh-CN"/>
        </w:rPr>
        <w:t>.</w:t>
      </w:r>
    </w:p>
    <w:p w14:paraId="2E1AAE36" w14:textId="77777777" w:rsidR="00E7595F" w:rsidRDefault="00336ECE">
      <w:pPr>
        <w:textAlignment w:val="auto"/>
        <w:rPr>
          <w:rFonts w:eastAsia="等线"/>
          <w:lang w:eastAsia="zh-CN"/>
        </w:rPr>
      </w:pPr>
      <w:r>
        <w:rPr>
          <w:rFonts w:eastAsia="等线"/>
          <w:lang w:val="en-US" w:eastAsia="zh-CN"/>
        </w:rPr>
        <w:t xml:space="preserve">Besides, one A-IoT paging for CFRA can only select one device in Rel-19. At most one AS ID is used for one device in one paging round in CFRA case, </w:t>
      </w:r>
      <w:bookmarkStart w:id="8" w:name="OLE_LINK67"/>
      <w:r>
        <w:rPr>
          <w:rFonts w:eastAsia="等线"/>
          <w:lang w:val="en-US" w:eastAsia="zh-CN"/>
        </w:rPr>
        <w:t xml:space="preserve">so </w:t>
      </w:r>
      <w:r>
        <w:rPr>
          <w:rFonts w:eastAsia="等线"/>
          <w:lang w:eastAsia="zh-CN"/>
        </w:rPr>
        <w:t xml:space="preserve">there is </w:t>
      </w:r>
      <w:r>
        <w:rPr>
          <w:rFonts w:eastAsia="等线"/>
          <w:lang w:val="en-US" w:eastAsia="zh-CN"/>
        </w:rPr>
        <w:t xml:space="preserve">no unnecessary time </w:t>
      </w:r>
      <w:r>
        <w:rPr>
          <w:rFonts w:eastAsia="等线"/>
          <w:lang w:eastAsia="zh-CN"/>
        </w:rPr>
        <w:t xml:space="preserve">of </w:t>
      </w:r>
      <w:r>
        <w:rPr>
          <w:rFonts w:eastAsia="等线"/>
          <w:lang w:val="en-US" w:eastAsia="zh-CN"/>
        </w:rPr>
        <w:t>occupying AS ID</w:t>
      </w:r>
      <w:r>
        <w:rPr>
          <w:rFonts w:eastAsia="等线"/>
          <w:lang w:eastAsia="zh-CN"/>
        </w:rPr>
        <w:t xml:space="preserve"> in one paging round</w:t>
      </w:r>
      <w:r>
        <w:rPr>
          <w:rFonts w:eastAsia="等线"/>
          <w:lang w:val="en-US" w:eastAsia="zh-CN"/>
        </w:rPr>
        <w:t>.</w:t>
      </w:r>
      <w:bookmarkStart w:id="9" w:name="OLE_LINK69"/>
      <w:r>
        <w:rPr>
          <w:rFonts w:eastAsia="等线"/>
          <w:lang w:val="en-US" w:eastAsia="zh-CN"/>
        </w:rPr>
        <w:t xml:space="preserve"> Therefore, there is no need to introduce a new R2D message for AS ID release </w:t>
      </w:r>
      <w:r>
        <w:rPr>
          <w:rFonts w:eastAsia="等线"/>
          <w:lang w:eastAsia="zh-CN"/>
        </w:rPr>
        <w:t xml:space="preserve">before paging reception </w:t>
      </w:r>
      <w:r>
        <w:rPr>
          <w:rFonts w:eastAsia="等线"/>
          <w:lang w:val="en-US" w:eastAsia="zh-CN"/>
        </w:rPr>
        <w:t>in CFRA.</w:t>
      </w:r>
      <w:bookmarkEnd w:id="8"/>
      <w:r>
        <w:rPr>
          <w:rFonts w:eastAsia="等线"/>
          <w:lang w:val="en-US" w:eastAsia="zh-CN"/>
        </w:rPr>
        <w:t xml:space="preserve"> The following FFS on whether a new message is needed for AS ID release is only for CBRA</w:t>
      </w:r>
      <w:r>
        <w:rPr>
          <w:rFonts w:eastAsia="等线"/>
          <w:lang w:eastAsia="zh-CN"/>
        </w:rPr>
        <w:t>.</w:t>
      </w:r>
    </w:p>
    <w:tbl>
      <w:tblPr>
        <w:tblStyle w:val="TableGrid"/>
        <w:tblW w:w="0" w:type="auto"/>
        <w:tblLook w:val="04A0" w:firstRow="1" w:lastRow="0" w:firstColumn="1" w:lastColumn="0" w:noHBand="0" w:noVBand="1"/>
      </w:tblPr>
      <w:tblGrid>
        <w:gridCol w:w="9631"/>
      </w:tblGrid>
      <w:tr w:rsidR="00E7595F" w14:paraId="5C76AB10" w14:textId="77777777">
        <w:tc>
          <w:tcPr>
            <w:tcW w:w="9631" w:type="dxa"/>
          </w:tcPr>
          <w:p w14:paraId="509A273B" w14:textId="77777777" w:rsidR="00E7595F" w:rsidRDefault="00336ECE">
            <w:pPr>
              <w:textAlignment w:val="auto"/>
              <w:rPr>
                <w:rFonts w:eastAsia="等线"/>
                <w:b/>
                <w:lang w:val="en-US" w:eastAsia="zh-CN"/>
              </w:rPr>
            </w:pPr>
            <w:r>
              <w:rPr>
                <w:rFonts w:eastAsia="等线"/>
                <w:b/>
                <w:lang w:val="en-US" w:eastAsia="zh-CN"/>
              </w:rPr>
              <w:t>RAN2#130 agreements:</w:t>
            </w:r>
          </w:p>
          <w:p w14:paraId="44DFE590" w14:textId="77777777" w:rsidR="00E7595F" w:rsidRDefault="00336ECE">
            <w:pPr>
              <w:pStyle w:val="ListParagraph"/>
              <w:numPr>
                <w:ilvl w:val="0"/>
                <w:numId w:val="8"/>
              </w:numPr>
              <w:ind w:firstLineChars="0"/>
              <w:textAlignment w:val="auto"/>
              <w:rPr>
                <w:rFonts w:eastAsia="等线"/>
                <w:lang w:val="en-US" w:eastAsia="zh-CN"/>
              </w:rPr>
            </w:pPr>
            <w:r>
              <w:rPr>
                <w:rFonts w:eastAsia="等线"/>
                <w:lang w:val="en-US" w:eastAsia="zh-CN"/>
              </w:rPr>
              <w:t>FFS for need for release message</w:t>
            </w:r>
          </w:p>
        </w:tc>
      </w:tr>
    </w:tbl>
    <w:p w14:paraId="4F8D7847" w14:textId="77777777" w:rsidR="00E7595F" w:rsidRDefault="00336ECE">
      <w:pPr>
        <w:pStyle w:val="Observation-HW"/>
      </w:pPr>
      <w:r>
        <w:t>Observation 1:</w:t>
      </w:r>
      <w:r>
        <w:tab/>
        <w:t xml:space="preserve">The FFS (on a new R2D message for early AS ID release) is only for CBRA, assuming device releases AS ID upon paging in CFRA.  </w:t>
      </w:r>
    </w:p>
    <w:p w14:paraId="014C121D" w14:textId="77777777" w:rsidR="00E7595F" w:rsidRDefault="00336ECE">
      <w:pPr>
        <w:rPr>
          <w:rFonts w:ascii="Arial" w:eastAsia="宋体" w:hAnsi="Arial"/>
          <w:b/>
        </w:rPr>
      </w:pPr>
      <w:r>
        <w:rPr>
          <w:rFonts w:eastAsia="等线"/>
          <w:lang w:val="en-US" w:eastAsia="zh-CN"/>
        </w:rPr>
        <w:t xml:space="preserve">For CBRA, a device releases AS ID when receiving a paging message with a new transaction ID. This allows </w:t>
      </w:r>
      <w:r>
        <w:t>reader to continue the data transmission after/across the subsequent paging.</w:t>
      </w:r>
      <w:r>
        <w:rPr>
          <w:rFonts w:eastAsia="宋体"/>
          <w:lang w:eastAsia="zh-CN"/>
        </w:rPr>
        <w:t xml:space="preserve"> If a reader does not want to be strongly restricted to send the subsequent paging message after handling all on-going procedures, one way is to flexibly indicate whether to </w:t>
      </w:r>
      <w:r>
        <w:rPr>
          <w:rFonts w:eastAsia="宋体"/>
          <w:lang w:eastAsia="zh-CN"/>
        </w:rPr>
        <w:lastRenderedPageBreak/>
        <w:t xml:space="preserve">release or not in a paging message (e.g., 1-bit indication). </w:t>
      </w:r>
      <w:bookmarkStart w:id="10" w:name="OLE_LINK73"/>
      <w:r>
        <w:rPr>
          <w:rFonts w:eastAsia="宋体"/>
          <w:lang w:eastAsia="zh-CN"/>
        </w:rPr>
        <w:t xml:space="preserve">By reader implementation, some subsequent paging messages trigger AS ID release, while other paging messages have no impact on AS ID release. This method improves the flexibility of AS ID management. </w:t>
      </w:r>
      <w:bookmarkStart w:id="11" w:name="OLE_LINK76"/>
      <w:bookmarkStart w:id="12" w:name="OLE_LINK75"/>
      <w:r>
        <w:rPr>
          <w:rFonts w:eastAsia="宋体"/>
          <w:lang w:eastAsia="zh-CN"/>
        </w:rPr>
        <w:t>Besides, this method does not bring much spec impact</w:t>
      </w:r>
      <w:bookmarkEnd w:id="11"/>
      <w:r>
        <w:rPr>
          <w:rFonts w:eastAsia="宋体"/>
          <w:lang w:eastAsia="zh-CN"/>
        </w:rPr>
        <w:t xml:space="preserve">, and it does not </w:t>
      </w:r>
      <w:bookmarkStart w:id="13" w:name="OLE_LINK77"/>
      <w:bookmarkStart w:id="14" w:name="OLE_LINK78"/>
      <w:r>
        <w:rPr>
          <w:rFonts w:eastAsia="宋体"/>
          <w:lang w:eastAsia="zh-CN"/>
        </w:rPr>
        <w:t xml:space="preserve">have much impact </w:t>
      </w:r>
      <w:bookmarkEnd w:id="13"/>
      <w:bookmarkEnd w:id="14"/>
      <w:r>
        <w:rPr>
          <w:rFonts w:eastAsia="宋体"/>
          <w:lang w:eastAsia="zh-CN"/>
        </w:rPr>
        <w:t>on system efficiency since 1-bit additional overhead in A-IoT paging is acceptable</w:t>
      </w:r>
      <w:bookmarkEnd w:id="12"/>
      <w:r>
        <w:rPr>
          <w:rFonts w:eastAsia="宋体"/>
          <w:lang w:eastAsia="zh-CN"/>
        </w:rPr>
        <w:t>. It is not necessary to define a new R2D message for early AS release.</w:t>
      </w:r>
      <w:bookmarkEnd w:id="10"/>
    </w:p>
    <w:p w14:paraId="5E5F9F9A" w14:textId="0BC374D5" w:rsidR="00E7595F" w:rsidRDefault="00336ECE">
      <w:pPr>
        <w:pStyle w:val="Proposal-HW"/>
        <w:rPr>
          <w:rFonts w:eastAsia="等线"/>
        </w:rPr>
      </w:pPr>
      <w:bookmarkStart w:id="15" w:name="OLE_LINK63"/>
      <w:bookmarkEnd w:id="9"/>
      <w:r>
        <w:t xml:space="preserve">Proposal </w:t>
      </w:r>
      <w:bookmarkEnd w:id="15"/>
      <w:r>
        <w:t>1:</w:t>
      </w:r>
      <w:r>
        <w:tab/>
        <w:t>(Issue 3-3) There is no further need to introduce a new R2D message for early AS ID release.</w:t>
      </w:r>
      <w:r w:rsidR="004C0885">
        <w:t xml:space="preserve"> (Already covered by post-email summary)</w:t>
      </w:r>
    </w:p>
    <w:p w14:paraId="157AB236" w14:textId="77777777" w:rsidR="00E7595F" w:rsidRDefault="00336ECE">
      <w:pPr>
        <w:pStyle w:val="Heading2"/>
        <w:rPr>
          <w:rFonts w:eastAsia="宋体"/>
          <w:lang w:eastAsia="zh-CN"/>
        </w:rPr>
      </w:pPr>
      <w:r>
        <w:rPr>
          <w:rFonts w:eastAsia="宋体"/>
          <w:lang w:eastAsia="zh-CN"/>
        </w:rPr>
        <w:t>2.2</w:t>
      </w:r>
      <w:r>
        <w:rPr>
          <w:rFonts w:eastAsia="宋体"/>
          <w:lang w:eastAsia="zh-CN"/>
        </w:rPr>
        <w:tab/>
        <w:t>D2R message content for data transmission</w:t>
      </w:r>
    </w:p>
    <w:p w14:paraId="1F1389B3" w14:textId="77777777" w:rsidR="00E7595F" w:rsidRDefault="00336ECE">
      <w:pPr>
        <w:pStyle w:val="Heading3"/>
      </w:pPr>
      <w:bookmarkStart w:id="16" w:name="_Toc147158679"/>
      <w:r>
        <w:t>2.2.1</w:t>
      </w:r>
      <w:r>
        <w:tab/>
      </w:r>
      <w:bookmarkEnd w:id="16"/>
      <w:r>
        <w:t>Data not available case (Issue 3-7)</w:t>
      </w:r>
    </w:p>
    <w:p w14:paraId="4B9667D3" w14:textId="77777777" w:rsidR="00E7595F" w:rsidRDefault="00336ECE">
      <w:pPr>
        <w:rPr>
          <w:rFonts w:eastAsia="Malgun Gothic"/>
          <w:lang w:eastAsia="de-DE"/>
        </w:rPr>
      </w:pPr>
      <w:r>
        <w:rPr>
          <w:rFonts w:eastAsia="Malgun Gothic"/>
          <w:lang w:eastAsia="de-DE"/>
        </w:rPr>
        <w:t>One open issue on more data indication handling is shown in the following.</w:t>
      </w:r>
    </w:p>
    <w:tbl>
      <w:tblPr>
        <w:tblStyle w:val="TableGrid"/>
        <w:tblW w:w="0" w:type="auto"/>
        <w:tblLook w:val="04A0" w:firstRow="1" w:lastRow="0" w:firstColumn="1" w:lastColumn="0" w:noHBand="0" w:noVBand="1"/>
      </w:tblPr>
      <w:tblGrid>
        <w:gridCol w:w="9631"/>
      </w:tblGrid>
      <w:tr w:rsidR="00E7595F" w14:paraId="5E32761C" w14:textId="77777777">
        <w:trPr>
          <w:trHeight w:val="2364"/>
        </w:trPr>
        <w:tc>
          <w:tcPr>
            <w:tcW w:w="9631" w:type="dxa"/>
          </w:tcPr>
          <w:p w14:paraId="6419F4A6" w14:textId="77777777" w:rsidR="00E7595F" w:rsidRDefault="00336ECE">
            <w:pPr>
              <w:rPr>
                <w:rFonts w:eastAsia="Malgun Gothic"/>
                <w:b/>
                <w:lang w:eastAsia="de-DE"/>
              </w:rPr>
            </w:pPr>
            <w:r>
              <w:rPr>
                <w:rFonts w:eastAsia="Malgun Gothic"/>
                <w:b/>
                <w:lang w:eastAsia="de-DE"/>
              </w:rPr>
              <w:t>RAN2#131 remaining A-IoT MAC open issues:</w:t>
            </w:r>
          </w:p>
          <w:tbl>
            <w:tblPr>
              <w:tblStyle w:val="TableGrid"/>
              <w:tblW w:w="9380" w:type="dxa"/>
              <w:tblLook w:val="04A0" w:firstRow="1" w:lastRow="0" w:firstColumn="1" w:lastColumn="0" w:noHBand="0" w:noVBand="1"/>
            </w:tblPr>
            <w:tblGrid>
              <w:gridCol w:w="1708"/>
              <w:gridCol w:w="6115"/>
              <w:gridCol w:w="1557"/>
            </w:tblGrid>
            <w:tr w:rsidR="00E7595F" w14:paraId="2D3682EC" w14:textId="77777777">
              <w:tc>
                <w:tcPr>
                  <w:tcW w:w="1708" w:type="dxa"/>
                </w:tcPr>
                <w:p w14:paraId="52CB6CD4" w14:textId="77777777" w:rsidR="00E7595F" w:rsidRDefault="00336ECE">
                  <w:pPr>
                    <w:rPr>
                      <w:lang w:val="en-US" w:eastAsia="zh-CN"/>
                    </w:rPr>
                  </w:pPr>
                  <w:r>
                    <w:rPr>
                      <w:rFonts w:eastAsiaTheme="minorEastAsia"/>
                      <w:lang w:val="en-US" w:eastAsia="zh-CN"/>
                    </w:rPr>
                    <w:t>(New)</w:t>
                  </w:r>
                  <w:r>
                    <w:rPr>
                      <w:rFonts w:eastAsiaTheme="minorEastAsia" w:hint="eastAsia"/>
                      <w:lang w:val="en-US" w:eastAsia="zh-CN"/>
                    </w:rPr>
                    <w:t>I</w:t>
                  </w:r>
                  <w:r>
                    <w:rPr>
                      <w:rFonts w:eastAsiaTheme="minorEastAsia"/>
                      <w:lang w:val="en-US" w:eastAsia="zh-CN"/>
                    </w:rPr>
                    <w:t>ssue 3-7: more data indication handling</w:t>
                  </w:r>
                </w:p>
              </w:tc>
              <w:tc>
                <w:tcPr>
                  <w:tcW w:w="6115" w:type="dxa"/>
                </w:tcPr>
                <w:p w14:paraId="611AE9C4" w14:textId="77777777" w:rsidR="00E7595F" w:rsidRDefault="00336ECE">
                  <w:pPr>
                    <w:rPr>
                      <w:rFonts w:eastAsiaTheme="minorEastAsia"/>
                      <w:lang w:val="en-US" w:eastAsia="zh-CN"/>
                    </w:rPr>
                  </w:pPr>
                  <w:r>
                    <w:rPr>
                      <w:rFonts w:eastAsiaTheme="minorEastAsia"/>
                      <w:lang w:val="en-US" w:eastAsia="zh-CN"/>
                    </w:rPr>
                    <w:t xml:space="preserve">How to set </w:t>
                  </w:r>
                  <w:bookmarkStart w:id="17" w:name="OLE_LINK80"/>
                  <w:r>
                    <w:rPr>
                      <w:rFonts w:eastAsiaTheme="minorEastAsia"/>
                      <w:lang w:val="en-US" w:eastAsia="zh-CN"/>
                    </w:rPr>
                    <w:t xml:space="preserve">“more data indication” </w:t>
                  </w:r>
                  <w:bookmarkEnd w:id="17"/>
                  <w:r>
                    <w:rPr>
                      <w:rFonts w:eastAsiaTheme="minorEastAsia"/>
                      <w:lang w:val="en-US" w:eastAsia="zh-CN"/>
                    </w:rPr>
                    <w:t xml:space="preserve">value in case of </w:t>
                  </w:r>
                  <w:bookmarkStart w:id="18" w:name="OLE_LINK79"/>
                  <w:r>
                    <w:rPr>
                      <w:rFonts w:eastAsiaTheme="minorEastAsia"/>
                      <w:lang w:val="en-US" w:eastAsia="zh-CN"/>
                    </w:rPr>
                    <w:t xml:space="preserve">no NAS response </w:t>
                  </w:r>
                  <w:bookmarkEnd w:id="18"/>
                  <w:r>
                    <w:rPr>
                      <w:rFonts w:eastAsiaTheme="minorEastAsia"/>
                      <w:lang w:val="en-US" w:eastAsia="zh-CN"/>
                    </w:rPr>
                    <w:t>available (i.e., zero SDU)</w:t>
                  </w:r>
                </w:p>
                <w:p w14:paraId="6086DB7E" w14:textId="5D318C9C" w:rsidR="00E7595F" w:rsidRDefault="00336ECE">
                  <w:pPr>
                    <w:pStyle w:val="ListParagraph"/>
                    <w:numPr>
                      <w:ilvl w:val="0"/>
                      <w:numId w:val="9"/>
                    </w:numPr>
                    <w:tabs>
                      <w:tab w:val="left" w:pos="992"/>
                    </w:tabs>
                    <w:overflowPunct/>
                    <w:autoSpaceDE/>
                    <w:autoSpaceDN/>
                    <w:adjustRightInd/>
                    <w:spacing w:before="0" w:after="160" w:line="259" w:lineRule="auto"/>
                    <w:ind w:firstLineChars="0"/>
                    <w:contextualSpacing/>
                    <w:textAlignment w:val="auto"/>
                    <w:rPr>
                      <w:lang w:val="en-US" w:eastAsia="zh-CN"/>
                    </w:rPr>
                  </w:pPr>
                  <w:r>
                    <w:rPr>
                      <w:rFonts w:ascii="Arial" w:hAnsi="Arial" w:cs="Arial"/>
                      <w:i/>
                      <w:iCs/>
                      <w:color w:val="4472C4" w:themeColor="accent1"/>
                      <w:lang w:val="en-US" w:eastAsia="sv-SE"/>
                    </w:rPr>
                    <w:t>During CR implementation, the rapp</w:t>
                  </w:r>
                  <w:r w:rsidR="008E4098">
                    <w:rPr>
                      <w:rFonts w:ascii="Arial" w:hAnsi="Arial" w:cs="Arial"/>
                      <w:i/>
                      <w:iCs/>
                      <w:color w:val="4472C4" w:themeColor="accent1"/>
                      <w:lang w:val="en-US" w:eastAsia="sv-SE"/>
                    </w:rPr>
                    <w:t>orteur</w:t>
                  </w:r>
                  <w:r>
                    <w:rPr>
                      <w:rFonts w:ascii="Arial" w:hAnsi="Arial" w:cs="Arial"/>
                      <w:i/>
                      <w:iCs/>
                      <w:color w:val="4472C4" w:themeColor="accent1"/>
                      <w:lang w:val="en-US" w:eastAsia="sv-SE"/>
                    </w:rPr>
                    <w:t xml:space="preserve"> identified </w:t>
                  </w:r>
                  <w:r w:rsidR="008E4098">
                    <w:rPr>
                      <w:rFonts w:ascii="Arial" w:hAnsi="Arial" w:cs="Arial"/>
                      <w:i/>
                      <w:iCs/>
                      <w:color w:val="4472C4" w:themeColor="accent1"/>
                      <w:lang w:val="en-US" w:eastAsia="sv-SE"/>
                    </w:rPr>
                    <w:t xml:space="preserve">that </w:t>
                  </w:r>
                  <w:r>
                    <w:rPr>
                      <w:rFonts w:ascii="Arial" w:hAnsi="Arial" w:cs="Arial"/>
                      <w:i/>
                      <w:iCs/>
                      <w:color w:val="4472C4" w:themeColor="accent1"/>
                      <w:lang w:val="en-US" w:eastAsia="sv-SE"/>
                    </w:rPr>
                    <w:t xml:space="preserve">there is no clear conclusion </w:t>
                  </w:r>
                  <w:r w:rsidR="008E4098">
                    <w:rPr>
                      <w:rFonts w:ascii="Arial" w:hAnsi="Arial" w:cs="Arial"/>
                      <w:i/>
                      <w:iCs/>
                      <w:color w:val="4472C4" w:themeColor="accent1"/>
                      <w:lang w:val="en-US" w:eastAsia="sv-SE"/>
                    </w:rPr>
                    <w:t xml:space="preserve">on </w:t>
                  </w:r>
                  <w:r>
                    <w:rPr>
                      <w:rFonts w:ascii="Arial" w:hAnsi="Arial" w:cs="Arial"/>
                      <w:i/>
                      <w:iCs/>
                      <w:color w:val="4472C4" w:themeColor="accent1"/>
                      <w:lang w:val="en-US" w:eastAsia="sv-SE"/>
                    </w:rPr>
                    <w:t>how to set the “more data indication” in case of no data available, i.e., zero SDU.</w:t>
                  </w:r>
                </w:p>
                <w:p w14:paraId="309F6211" w14:textId="629AB113" w:rsidR="00E7595F" w:rsidRDefault="00336ECE">
                  <w:pPr>
                    <w:pStyle w:val="ListParagraph"/>
                    <w:numPr>
                      <w:ilvl w:val="0"/>
                      <w:numId w:val="9"/>
                    </w:numPr>
                    <w:tabs>
                      <w:tab w:val="left" w:pos="992"/>
                    </w:tabs>
                    <w:overflowPunct/>
                    <w:autoSpaceDE/>
                    <w:autoSpaceDN/>
                    <w:adjustRightInd/>
                    <w:spacing w:before="0" w:after="160" w:line="259" w:lineRule="auto"/>
                    <w:ind w:firstLineChars="0"/>
                    <w:contextualSpacing/>
                    <w:textAlignment w:val="auto"/>
                    <w:rPr>
                      <w:lang w:val="en-US" w:eastAsia="zh-CN"/>
                    </w:rPr>
                  </w:pPr>
                  <w:r>
                    <w:rPr>
                      <w:rFonts w:ascii="Arial" w:hAnsi="Arial" w:cs="Arial"/>
                      <w:i/>
                      <w:iCs/>
                      <w:color w:val="4472C4" w:themeColor="accent1"/>
                      <w:lang w:val="en-US" w:eastAsia="sv-SE"/>
                    </w:rPr>
                    <w:t xml:space="preserve">Status in running CR: captured as value </w:t>
                  </w:r>
                  <w:r w:rsidR="00BB02C3">
                    <w:rPr>
                      <w:rFonts w:ascii="Arial" w:hAnsi="Arial" w:cs="Arial"/>
                      <w:i/>
                      <w:iCs/>
                      <w:color w:val="4472C4" w:themeColor="accent1"/>
                      <w:lang w:val="en-US" w:eastAsia="sv-SE"/>
                    </w:rPr>
                    <w:t>“</w:t>
                  </w:r>
                  <w:r>
                    <w:rPr>
                      <w:rFonts w:ascii="Arial" w:hAnsi="Arial" w:cs="Arial"/>
                      <w:i/>
                      <w:iCs/>
                      <w:color w:val="4472C4" w:themeColor="accent1"/>
                      <w:lang w:val="en-US" w:eastAsia="sv-SE"/>
                    </w:rPr>
                    <w:t>FFS</w:t>
                  </w:r>
                  <w:r w:rsidR="00BB02C3">
                    <w:rPr>
                      <w:rFonts w:ascii="Arial" w:hAnsi="Arial" w:cs="Arial"/>
                      <w:i/>
                      <w:iCs/>
                      <w:color w:val="4472C4" w:themeColor="accent1"/>
                      <w:lang w:val="en-US" w:eastAsia="sv-SE"/>
                    </w:rPr>
                    <w:t>”</w:t>
                  </w:r>
                  <w:r>
                    <w:rPr>
                      <w:rFonts w:ascii="Arial" w:hAnsi="Arial" w:cs="Arial"/>
                      <w:i/>
                      <w:iCs/>
                      <w:color w:val="4472C4" w:themeColor="accent1"/>
                      <w:lang w:val="en-US" w:eastAsia="sv-SE"/>
                    </w:rPr>
                    <w:t>.</w:t>
                  </w:r>
                </w:p>
              </w:tc>
              <w:tc>
                <w:tcPr>
                  <w:tcW w:w="1557" w:type="dxa"/>
                </w:tcPr>
                <w:p w14:paraId="6D81F23A" w14:textId="77777777" w:rsidR="00E7595F" w:rsidRDefault="00336ECE">
                  <w:pPr>
                    <w:rPr>
                      <w:lang w:val="en-US" w:eastAsia="zh-CN"/>
                    </w:rPr>
                  </w:pPr>
                  <w:r>
                    <w:rPr>
                      <w:lang w:val="en-US" w:eastAsia="zh-CN"/>
                    </w:rPr>
                    <w:t>To be discussed by company contributions</w:t>
                  </w:r>
                </w:p>
              </w:tc>
            </w:tr>
          </w:tbl>
          <w:p w14:paraId="1F496849" w14:textId="77777777" w:rsidR="00E7595F" w:rsidRDefault="00E7595F">
            <w:pPr>
              <w:rPr>
                <w:rFonts w:eastAsia="Malgun Gothic"/>
                <w:lang w:eastAsia="de-DE"/>
              </w:rPr>
            </w:pPr>
          </w:p>
        </w:tc>
      </w:tr>
    </w:tbl>
    <w:p w14:paraId="50E9F5D9" w14:textId="6169E403" w:rsidR="00E7595F" w:rsidRDefault="00336ECE">
      <w:pPr>
        <w:rPr>
          <w:rFonts w:eastAsia="Malgun Gothic"/>
          <w:lang w:eastAsia="de-DE"/>
        </w:rPr>
      </w:pPr>
      <w:r>
        <w:rPr>
          <w:rFonts w:eastAsia="Malgun Gothic"/>
          <w:lang w:eastAsia="de-DE"/>
        </w:rPr>
        <w:t xml:space="preserve">The case of "no NAS response available" occurs when Write Response is not ready but device needs to send a D2R message to respond the Write command in the scheduled D2R occasion. In this case, the D2R </w:t>
      </w:r>
      <w:r w:rsidR="00021F4F">
        <w:rPr>
          <w:rFonts w:eastAsia="Malgun Gothic"/>
          <w:lang w:eastAsia="de-DE"/>
        </w:rPr>
        <w:t>MAC message</w:t>
      </w:r>
      <w:r>
        <w:rPr>
          <w:rFonts w:eastAsia="Malgun Gothic"/>
          <w:lang w:eastAsia="de-DE"/>
        </w:rPr>
        <w:t xml:space="preserve"> includes 0 SDU</w:t>
      </w:r>
      <w:r w:rsidR="00021F4F">
        <w:rPr>
          <w:rFonts w:eastAsia="Malgun Gothic"/>
          <w:lang w:eastAsia="de-DE"/>
        </w:rPr>
        <w:t xml:space="preserve"> (SDU Length field set to 0) as a response</w:t>
      </w:r>
      <w:r>
        <w:rPr>
          <w:rFonts w:eastAsia="Malgun Gothic"/>
          <w:lang w:eastAsia="de-DE"/>
        </w:rPr>
        <w:t>.</w:t>
      </w:r>
    </w:p>
    <w:p w14:paraId="3A897254" w14:textId="77777777" w:rsidR="00E7595F" w:rsidRDefault="00336ECE">
      <w:pPr>
        <w:rPr>
          <w:rFonts w:eastAsia="Malgun Gothic"/>
          <w:lang w:eastAsia="de-DE"/>
        </w:rPr>
      </w:pPr>
      <w:r>
        <w:rPr>
          <w:rFonts w:eastAsia="Malgun Gothic"/>
          <w:lang w:eastAsia="de-DE"/>
        </w:rPr>
        <w:t xml:space="preserve">As for more data indication field: </w:t>
      </w:r>
    </w:p>
    <w:p w14:paraId="45F3DAF4" w14:textId="365D2A39" w:rsidR="00E7595F" w:rsidRDefault="00336ECE">
      <w:pPr>
        <w:pStyle w:val="ListParagraph"/>
        <w:numPr>
          <w:ilvl w:val="0"/>
          <w:numId w:val="10"/>
        </w:numPr>
        <w:ind w:firstLineChars="0"/>
        <w:rPr>
          <w:rFonts w:eastAsia="Malgun Gothic"/>
          <w:lang w:eastAsia="de-DE"/>
        </w:rPr>
      </w:pPr>
      <w:r>
        <w:rPr>
          <w:rFonts w:eastAsia="Malgun Gothic"/>
          <w:lang w:eastAsia="de-DE"/>
        </w:rPr>
        <w:t xml:space="preserve">From the perspective of </w:t>
      </w:r>
      <w:proofErr w:type="spellStart"/>
      <w:r>
        <w:rPr>
          <w:rFonts w:eastAsia="Malgun Gothic"/>
          <w:lang w:eastAsia="de-DE"/>
        </w:rPr>
        <w:t>signaling</w:t>
      </w:r>
      <w:proofErr w:type="spellEnd"/>
      <w:r>
        <w:rPr>
          <w:rFonts w:eastAsia="Malgun Gothic"/>
          <w:lang w:eastAsia="de-DE"/>
        </w:rPr>
        <w:t xml:space="preserve"> overhead, if it is optional, additional 1-bit “optional” field is needed when “more data indication” is set to be 1. </w:t>
      </w:r>
      <w:r w:rsidR="00BB02C3">
        <w:rPr>
          <w:rFonts w:eastAsia="Malgun Gothic"/>
          <w:lang w:eastAsia="de-DE"/>
        </w:rPr>
        <w:t xml:space="preserve">Therefore, introducing an </w:t>
      </w:r>
      <w:proofErr w:type="gramStart"/>
      <w:r w:rsidR="00BB02C3">
        <w:rPr>
          <w:rFonts w:eastAsia="Malgun Gothic"/>
          <w:lang w:eastAsia="de-DE"/>
        </w:rPr>
        <w:t>o</w:t>
      </w:r>
      <w:r>
        <w:rPr>
          <w:rFonts w:eastAsia="Malgun Gothic"/>
          <w:lang w:eastAsia="de-DE"/>
        </w:rPr>
        <w:t>ptional indication cost</w:t>
      </w:r>
      <w:r w:rsidR="00BB02C3">
        <w:rPr>
          <w:rFonts w:eastAsia="Malgun Gothic"/>
          <w:lang w:eastAsia="de-DE"/>
        </w:rPr>
        <w:t>s</w:t>
      </w:r>
      <w:proofErr w:type="gramEnd"/>
      <w:r>
        <w:rPr>
          <w:rFonts w:eastAsia="Malgun Gothic"/>
          <w:lang w:eastAsia="de-DE"/>
        </w:rPr>
        <w:t xml:space="preserve"> more overhead than </w:t>
      </w:r>
      <w:r w:rsidR="00BB02C3">
        <w:rPr>
          <w:rFonts w:eastAsia="Malgun Gothic"/>
          <w:lang w:eastAsia="de-DE"/>
        </w:rPr>
        <w:t xml:space="preserve">a </w:t>
      </w:r>
      <w:r>
        <w:rPr>
          <w:rFonts w:eastAsia="Malgun Gothic"/>
          <w:lang w:eastAsia="de-DE"/>
        </w:rPr>
        <w:t>mandatory indication.</w:t>
      </w:r>
    </w:p>
    <w:p w14:paraId="3723A5B2" w14:textId="77777777" w:rsidR="00E7595F" w:rsidRDefault="00336ECE">
      <w:pPr>
        <w:pStyle w:val="ListParagraph"/>
        <w:numPr>
          <w:ilvl w:val="0"/>
          <w:numId w:val="10"/>
        </w:numPr>
        <w:ind w:firstLineChars="0"/>
        <w:rPr>
          <w:rFonts w:eastAsia="Malgun Gothic"/>
          <w:lang w:eastAsia="de-DE"/>
        </w:rPr>
      </w:pPr>
      <w:r>
        <w:rPr>
          <w:rFonts w:eastAsia="Malgun Gothic"/>
          <w:lang w:eastAsia="de-DE"/>
        </w:rPr>
        <w:t>From the perspective of reader understanding, there are three cases:</w:t>
      </w:r>
    </w:p>
    <w:p w14:paraId="6D987C72" w14:textId="2386E260" w:rsidR="00E7595F" w:rsidRDefault="00336ECE">
      <w:pPr>
        <w:pStyle w:val="ListParagraph"/>
        <w:numPr>
          <w:ilvl w:val="1"/>
          <w:numId w:val="10"/>
        </w:numPr>
        <w:ind w:firstLineChars="0"/>
        <w:rPr>
          <w:rFonts w:eastAsia="Malgun Gothic"/>
          <w:lang w:eastAsia="de-DE"/>
        </w:rPr>
      </w:pPr>
      <w:r>
        <w:rPr>
          <w:rFonts w:eastAsia="Malgun Gothic"/>
          <w:lang w:eastAsia="de-DE"/>
        </w:rPr>
        <w:t xml:space="preserve">Case 1: “More data indication”= 1 and “zero SDU”: The reader can know </w:t>
      </w:r>
      <w:r w:rsidR="00BB02C3">
        <w:rPr>
          <w:rFonts w:eastAsia="Malgun Gothic"/>
          <w:lang w:eastAsia="de-DE"/>
        </w:rPr>
        <w:t xml:space="preserve">that </w:t>
      </w:r>
      <w:r>
        <w:rPr>
          <w:rFonts w:eastAsia="Malgun Gothic"/>
          <w:lang w:eastAsia="de-DE"/>
        </w:rPr>
        <w:t>the procedure is still on-going, and the NAS response is not available in the current D2R occasion.</w:t>
      </w:r>
    </w:p>
    <w:p w14:paraId="0DEB1901" w14:textId="294D6959" w:rsidR="00E7595F" w:rsidRDefault="00336ECE">
      <w:pPr>
        <w:pStyle w:val="ListParagraph"/>
        <w:numPr>
          <w:ilvl w:val="1"/>
          <w:numId w:val="10"/>
        </w:numPr>
        <w:ind w:firstLineChars="0"/>
        <w:rPr>
          <w:rFonts w:eastAsia="Malgun Gothic"/>
          <w:lang w:eastAsia="de-DE"/>
        </w:rPr>
      </w:pPr>
      <w:r>
        <w:rPr>
          <w:rFonts w:eastAsia="Malgun Gothic"/>
          <w:lang w:eastAsia="de-DE"/>
        </w:rPr>
        <w:t xml:space="preserve">Case 2: “More data indication”= 1 and “non-zero SDU”: </w:t>
      </w:r>
      <w:bookmarkStart w:id="19" w:name="OLE_LINK81"/>
      <w:r>
        <w:rPr>
          <w:rFonts w:eastAsia="Malgun Gothic"/>
          <w:lang w:eastAsia="de-DE"/>
        </w:rPr>
        <w:t>The reader can know</w:t>
      </w:r>
      <w:r w:rsidR="00BB02C3">
        <w:rPr>
          <w:rFonts w:eastAsia="Malgun Gothic"/>
          <w:lang w:eastAsia="de-DE"/>
        </w:rPr>
        <w:t xml:space="preserve"> that</w:t>
      </w:r>
      <w:r>
        <w:rPr>
          <w:rFonts w:eastAsia="Malgun Gothic"/>
          <w:lang w:eastAsia="de-DE"/>
        </w:rPr>
        <w:t xml:space="preserve"> the NAS response is available but D2R segmentation is performed.</w:t>
      </w:r>
      <w:bookmarkEnd w:id="19"/>
    </w:p>
    <w:p w14:paraId="0F2AEAF2" w14:textId="66F64915" w:rsidR="00E7595F" w:rsidRDefault="00336ECE">
      <w:pPr>
        <w:pStyle w:val="ListParagraph"/>
        <w:numPr>
          <w:ilvl w:val="1"/>
          <w:numId w:val="10"/>
        </w:numPr>
        <w:ind w:firstLineChars="0"/>
        <w:rPr>
          <w:rFonts w:eastAsia="Malgun Gothic"/>
          <w:lang w:eastAsia="de-DE"/>
        </w:rPr>
      </w:pPr>
      <w:bookmarkStart w:id="20" w:name="OLE_LINK82"/>
      <w:r>
        <w:rPr>
          <w:rFonts w:eastAsia="Malgun Gothic"/>
          <w:lang w:eastAsia="de-DE"/>
        </w:rPr>
        <w:t xml:space="preserve">Case 3: “More data indication”= 0 and “non-zero SDU”: </w:t>
      </w:r>
      <w:bookmarkEnd w:id="20"/>
      <w:r>
        <w:rPr>
          <w:rFonts w:eastAsia="Malgun Gothic"/>
          <w:lang w:eastAsia="de-DE"/>
        </w:rPr>
        <w:t xml:space="preserve">The reader can know </w:t>
      </w:r>
      <w:r w:rsidR="00BB02C3">
        <w:rPr>
          <w:rFonts w:eastAsia="Malgun Gothic"/>
          <w:lang w:eastAsia="de-DE"/>
        </w:rPr>
        <w:t xml:space="preserve">that </w:t>
      </w:r>
      <w:r>
        <w:rPr>
          <w:rFonts w:eastAsia="Malgun Gothic"/>
          <w:lang w:eastAsia="de-DE"/>
        </w:rPr>
        <w:t>the NAS response is available and there is no need to schedule more D2R data (this D2R data includes un-segment</w:t>
      </w:r>
      <w:r w:rsidR="00BB02C3">
        <w:rPr>
          <w:rFonts w:eastAsia="Malgun Gothic"/>
          <w:lang w:eastAsia="de-DE"/>
        </w:rPr>
        <w:t>ed</w:t>
      </w:r>
      <w:r>
        <w:rPr>
          <w:rFonts w:eastAsia="Malgun Gothic"/>
          <w:lang w:eastAsia="de-DE"/>
        </w:rPr>
        <w:t xml:space="preserve"> data or the last segment).</w:t>
      </w:r>
    </w:p>
    <w:p w14:paraId="7C840680" w14:textId="71D82255" w:rsidR="00E7595F" w:rsidRDefault="00336ECE">
      <w:pPr>
        <w:pStyle w:val="ListParagraph"/>
        <w:numPr>
          <w:ilvl w:val="1"/>
          <w:numId w:val="10"/>
        </w:numPr>
        <w:ind w:firstLineChars="0"/>
        <w:rPr>
          <w:rFonts w:eastAsia="Malgun Gothic"/>
          <w:lang w:eastAsia="de-DE"/>
        </w:rPr>
      </w:pPr>
      <w:r>
        <w:rPr>
          <w:rFonts w:eastAsia="Malgun Gothic"/>
          <w:lang w:eastAsia="de-DE"/>
        </w:rPr>
        <w:t>There is no case of “More data indication” = 0 and “zero SDU” since a R2D command always corresponds to a D2R response</w:t>
      </w:r>
      <w:bookmarkStart w:id="21" w:name="OLE_LINK83"/>
      <w:r w:rsidR="004F1954">
        <w:rPr>
          <w:rFonts w:eastAsia="Malgun Gothic"/>
          <w:lang w:eastAsia="de-DE"/>
        </w:rPr>
        <w:t>, as indicated by SA2 in the following LS</w:t>
      </w:r>
      <w:r>
        <w:rPr>
          <w:rFonts w:eastAsia="Malgun Gothic"/>
          <w:lang w:eastAsia="de-DE"/>
        </w:rPr>
        <w:t>. So only case 1 occurs when no NAS data is available.</w:t>
      </w:r>
      <w:bookmarkEnd w:id="21"/>
    </w:p>
    <w:tbl>
      <w:tblPr>
        <w:tblStyle w:val="TableGrid"/>
        <w:tblW w:w="0" w:type="auto"/>
        <w:tblInd w:w="1440" w:type="dxa"/>
        <w:tblLook w:val="04A0" w:firstRow="1" w:lastRow="0" w:firstColumn="1" w:lastColumn="0" w:noHBand="0" w:noVBand="1"/>
      </w:tblPr>
      <w:tblGrid>
        <w:gridCol w:w="8191"/>
      </w:tblGrid>
      <w:tr w:rsidR="00E7595F" w14:paraId="5E30EDFB" w14:textId="77777777">
        <w:tc>
          <w:tcPr>
            <w:tcW w:w="9631" w:type="dxa"/>
          </w:tcPr>
          <w:p w14:paraId="6FFA4C5E" w14:textId="77777777" w:rsidR="00E7595F" w:rsidRDefault="00336ECE">
            <w:pPr>
              <w:pStyle w:val="ListParagraph"/>
              <w:ind w:firstLineChars="0" w:firstLine="0"/>
              <w:rPr>
                <w:rFonts w:eastAsia="Malgun Gothic"/>
                <w:b/>
                <w:lang w:val="en-US" w:eastAsia="de-DE"/>
              </w:rPr>
            </w:pPr>
            <w:r>
              <w:rPr>
                <w:rFonts w:eastAsia="Malgun Gothic"/>
                <w:b/>
                <w:lang w:val="en-US" w:eastAsia="de-DE"/>
              </w:rPr>
              <w:t>S2-2501241:</w:t>
            </w:r>
          </w:p>
          <w:p w14:paraId="70509354" w14:textId="77777777" w:rsidR="00E7595F" w:rsidRDefault="00336ECE">
            <w:pPr>
              <w:pStyle w:val="ListParagraph"/>
              <w:ind w:firstLineChars="0" w:firstLine="0"/>
              <w:rPr>
                <w:rFonts w:eastAsia="Malgun Gothic"/>
                <w:lang w:val="en-US" w:eastAsia="de-DE"/>
              </w:rPr>
            </w:pPr>
            <w:r>
              <w:rPr>
                <w:rFonts w:eastAsia="Malgun Gothic"/>
                <w:lang w:val="en-US" w:eastAsia="de-DE"/>
              </w:rPr>
              <w:t>SA2 answer: No, a D2R response is always expected for a R2D message for command service type (e.g., the service data response for 'Read' service operation, and the operation result indication response for 'Write' or 'Disable' service operation).</w:t>
            </w:r>
          </w:p>
        </w:tc>
      </w:tr>
    </w:tbl>
    <w:p w14:paraId="1626A8C0" w14:textId="3E93236B" w:rsidR="00E7595F" w:rsidRDefault="00336ECE">
      <w:pPr>
        <w:rPr>
          <w:rFonts w:eastAsia="Malgun Gothic"/>
          <w:lang w:eastAsia="de-DE"/>
        </w:rPr>
      </w:pPr>
      <w:r>
        <w:rPr>
          <w:rFonts w:eastAsia="Malgun Gothic"/>
          <w:lang w:eastAsia="de-DE"/>
        </w:rPr>
        <w:t xml:space="preserve">Hence, if more data indication is mandatory, there is no new understanding for the fields of “more data indication”=0/1 and “zero/non-zero SDU” and the </w:t>
      </w:r>
      <w:proofErr w:type="spellStart"/>
      <w:r>
        <w:rPr>
          <w:rFonts w:eastAsia="Malgun Gothic"/>
          <w:lang w:eastAsia="de-DE"/>
        </w:rPr>
        <w:t>signaling</w:t>
      </w:r>
      <w:proofErr w:type="spellEnd"/>
      <w:r>
        <w:rPr>
          <w:rFonts w:eastAsia="Malgun Gothic"/>
          <w:lang w:eastAsia="de-DE"/>
        </w:rPr>
        <w:t xml:space="preserve"> overhead is less. </w:t>
      </w:r>
      <w:r w:rsidR="00E01AD3">
        <w:rPr>
          <w:rFonts w:eastAsia="Malgun Gothic"/>
          <w:lang w:eastAsia="de-DE"/>
        </w:rPr>
        <w:t>Nevertheless,</w:t>
      </w:r>
      <w:r w:rsidR="00021F4F">
        <w:rPr>
          <w:rFonts w:eastAsia="Malgun Gothic"/>
          <w:lang w:eastAsia="de-DE"/>
        </w:rPr>
        <w:t xml:space="preserve"> </w:t>
      </w:r>
      <w:r w:rsidR="006B737C">
        <w:rPr>
          <w:rFonts w:eastAsia="Malgun Gothic"/>
          <w:lang w:eastAsia="de-DE"/>
        </w:rPr>
        <w:t>since the case here is that the upper layer response is not ready yet but will be available shortly, setting the more data indication to true is more consist</w:t>
      </w:r>
      <w:r w:rsidR="00E01AD3">
        <w:rPr>
          <w:rFonts w:eastAsia="Malgun Gothic"/>
          <w:lang w:eastAsia="de-DE"/>
        </w:rPr>
        <w:t>ent</w:t>
      </w:r>
      <w:r w:rsidR="006B737C">
        <w:rPr>
          <w:rFonts w:eastAsia="Malgun Gothic"/>
          <w:lang w:eastAsia="de-DE"/>
        </w:rPr>
        <w:t xml:space="preserve"> with the original description of the field (i.e., there will be more data). </w:t>
      </w:r>
      <w:r w:rsidR="00BB24D4">
        <w:rPr>
          <w:rFonts w:eastAsia="Malgun Gothic"/>
          <w:lang w:eastAsia="de-DE"/>
        </w:rPr>
        <w:t>However, from the open issue</w:t>
      </w:r>
      <w:r w:rsidR="00E01AD3">
        <w:rPr>
          <w:rFonts w:eastAsia="Malgun Gothic"/>
          <w:lang w:eastAsia="de-DE"/>
        </w:rPr>
        <w:t>s</w:t>
      </w:r>
      <w:r w:rsidR="00BB24D4">
        <w:rPr>
          <w:rFonts w:eastAsia="Malgun Gothic"/>
          <w:lang w:eastAsia="de-DE"/>
        </w:rPr>
        <w:t xml:space="preserve"> email discussion, we </w:t>
      </w:r>
      <w:r w:rsidR="00BB24D4">
        <w:rPr>
          <w:rFonts w:eastAsia="Malgun Gothic"/>
          <w:lang w:eastAsia="de-DE"/>
        </w:rPr>
        <w:lastRenderedPageBreak/>
        <w:t xml:space="preserve">observed </w:t>
      </w:r>
      <w:r w:rsidR="00E01AD3">
        <w:rPr>
          <w:rFonts w:eastAsia="Malgun Gothic"/>
          <w:lang w:eastAsia="de-DE"/>
        </w:rPr>
        <w:t xml:space="preserve">that </w:t>
      </w:r>
      <w:r w:rsidR="00BB24D4">
        <w:rPr>
          <w:rFonts w:eastAsia="Malgun Gothic"/>
          <w:lang w:eastAsia="de-DE"/>
        </w:rPr>
        <w:t>s</w:t>
      </w:r>
      <w:r w:rsidR="006B737C">
        <w:rPr>
          <w:rFonts w:eastAsia="Malgun Gothic"/>
          <w:lang w:eastAsia="de-DE"/>
        </w:rPr>
        <w:t xml:space="preserve">ome companies </w:t>
      </w:r>
      <w:r w:rsidR="00BB24D4">
        <w:rPr>
          <w:rFonts w:eastAsia="Malgun Gothic"/>
          <w:lang w:eastAsia="de-DE"/>
        </w:rPr>
        <w:t xml:space="preserve">prefer to set the indication to </w:t>
      </w:r>
      <w:r w:rsidR="00E01AD3">
        <w:rPr>
          <w:rFonts w:eastAsia="Malgun Gothic"/>
          <w:lang w:eastAsia="de-DE"/>
        </w:rPr>
        <w:t>“</w:t>
      </w:r>
      <w:r w:rsidR="00BB24D4">
        <w:rPr>
          <w:rFonts w:eastAsia="Malgun Gothic"/>
          <w:lang w:eastAsia="de-DE"/>
        </w:rPr>
        <w:t>false</w:t>
      </w:r>
      <w:r w:rsidR="00E01AD3">
        <w:rPr>
          <w:rFonts w:eastAsia="Malgun Gothic"/>
          <w:lang w:eastAsia="de-DE"/>
        </w:rPr>
        <w:t>”</w:t>
      </w:r>
      <w:r w:rsidR="00BB24D4">
        <w:rPr>
          <w:rFonts w:eastAsia="Malgun Gothic"/>
          <w:lang w:eastAsia="de-DE"/>
        </w:rPr>
        <w:t xml:space="preserve">, assuming </w:t>
      </w:r>
      <w:r w:rsidR="00E01AD3">
        <w:rPr>
          <w:rFonts w:eastAsia="Malgun Gothic"/>
          <w:lang w:eastAsia="de-DE"/>
        </w:rPr>
        <w:t xml:space="preserve">that </w:t>
      </w:r>
      <w:r w:rsidR="00BB24D4">
        <w:rPr>
          <w:rFonts w:eastAsia="Malgun Gothic"/>
          <w:lang w:eastAsia="de-DE"/>
        </w:rPr>
        <w:t>the indication is introduced for segmentation procedure. Our understanding is that if this indication is mandatory (as the running CR captured), then</w:t>
      </w:r>
      <w:r w:rsidR="00E01AD3">
        <w:rPr>
          <w:rFonts w:eastAsia="Malgun Gothic"/>
          <w:lang w:eastAsia="de-DE"/>
        </w:rPr>
        <w:t>,</w:t>
      </w:r>
      <w:r w:rsidR="00BB24D4">
        <w:rPr>
          <w:rFonts w:eastAsia="Malgun Gothic"/>
          <w:lang w:eastAsia="de-DE"/>
        </w:rPr>
        <w:t xml:space="preserve"> for the non-segmentation case, this field is also present and set to </w:t>
      </w:r>
      <w:r w:rsidR="00E01AD3">
        <w:rPr>
          <w:rFonts w:eastAsia="Malgun Gothic"/>
          <w:lang w:eastAsia="de-DE"/>
        </w:rPr>
        <w:t>“</w:t>
      </w:r>
      <w:r w:rsidR="00BB24D4">
        <w:rPr>
          <w:rFonts w:eastAsia="Malgun Gothic"/>
          <w:lang w:eastAsia="de-DE"/>
        </w:rPr>
        <w:t>false</w:t>
      </w:r>
      <w:r w:rsidR="00E01AD3">
        <w:rPr>
          <w:rFonts w:eastAsia="Malgun Gothic"/>
          <w:lang w:eastAsia="de-DE"/>
        </w:rPr>
        <w:t>”,</w:t>
      </w:r>
      <w:r w:rsidR="00BB24D4">
        <w:rPr>
          <w:rFonts w:eastAsia="Malgun Gothic"/>
          <w:lang w:eastAsia="de-DE"/>
        </w:rPr>
        <w:t xml:space="preserve"> which means </w:t>
      </w:r>
      <w:r w:rsidR="00E01AD3">
        <w:rPr>
          <w:rFonts w:eastAsia="Malgun Gothic"/>
          <w:lang w:eastAsia="de-DE"/>
        </w:rPr>
        <w:t xml:space="preserve">that </w:t>
      </w:r>
      <w:r w:rsidR="00BB24D4">
        <w:rPr>
          <w:rFonts w:eastAsia="Malgun Gothic"/>
          <w:lang w:eastAsia="de-DE"/>
        </w:rPr>
        <w:t>the general meaning of the field is to indicate</w:t>
      </w:r>
      <w:r w:rsidR="00E01AD3">
        <w:rPr>
          <w:rFonts w:eastAsia="Malgun Gothic"/>
          <w:lang w:eastAsia="de-DE"/>
        </w:rPr>
        <w:t xml:space="preserve"> that</w:t>
      </w:r>
      <w:r w:rsidR="00BB24D4">
        <w:rPr>
          <w:rFonts w:eastAsia="Malgun Gothic"/>
          <w:lang w:eastAsia="de-DE"/>
        </w:rPr>
        <w:t xml:space="preserve"> there is</w:t>
      </w:r>
      <w:r w:rsidR="00E01AD3">
        <w:rPr>
          <w:rFonts w:eastAsia="Malgun Gothic"/>
          <w:lang w:eastAsia="de-DE"/>
        </w:rPr>
        <w:t>,</w:t>
      </w:r>
      <w:r w:rsidR="00BB24D4">
        <w:rPr>
          <w:rFonts w:eastAsia="Malgun Gothic"/>
          <w:lang w:eastAsia="de-DE"/>
        </w:rPr>
        <w:t xml:space="preserve"> or </w:t>
      </w:r>
      <w:r w:rsidR="00E01AD3">
        <w:rPr>
          <w:rFonts w:eastAsia="Malgun Gothic"/>
          <w:lang w:eastAsia="de-DE"/>
        </w:rPr>
        <w:t xml:space="preserve">there is </w:t>
      </w:r>
      <w:r w:rsidR="00BB24D4">
        <w:rPr>
          <w:rFonts w:eastAsia="Malgun Gothic"/>
          <w:lang w:eastAsia="de-DE"/>
        </w:rPr>
        <w:t>not</w:t>
      </w:r>
      <w:r w:rsidR="00E01AD3">
        <w:rPr>
          <w:rFonts w:eastAsia="Malgun Gothic"/>
          <w:lang w:eastAsia="de-DE"/>
        </w:rPr>
        <w:t>,</w:t>
      </w:r>
      <w:r w:rsidR="00BB24D4">
        <w:rPr>
          <w:rFonts w:eastAsia="Malgun Gothic"/>
          <w:lang w:eastAsia="de-DE"/>
        </w:rPr>
        <w:t xml:space="preserve"> following data, and not specific to segmentation only. </w:t>
      </w:r>
      <w:r w:rsidR="00F0691C">
        <w:rPr>
          <w:rFonts w:eastAsia="Malgun Gothic"/>
          <w:lang w:eastAsia="de-DE"/>
        </w:rPr>
        <w:t xml:space="preserve">Then setting it to </w:t>
      </w:r>
      <w:r w:rsidR="00E01AD3">
        <w:rPr>
          <w:rFonts w:eastAsia="Malgun Gothic"/>
          <w:lang w:eastAsia="de-DE"/>
        </w:rPr>
        <w:t>“</w:t>
      </w:r>
      <w:r w:rsidR="00F0691C">
        <w:rPr>
          <w:rFonts w:eastAsia="Malgun Gothic"/>
          <w:lang w:eastAsia="de-DE"/>
        </w:rPr>
        <w:t>true</w:t>
      </w:r>
      <w:r w:rsidR="00E01AD3">
        <w:rPr>
          <w:rFonts w:eastAsia="Malgun Gothic"/>
          <w:lang w:eastAsia="de-DE"/>
        </w:rPr>
        <w:t>”</w:t>
      </w:r>
      <w:r w:rsidR="00F0691C">
        <w:rPr>
          <w:rFonts w:eastAsia="Malgun Gothic"/>
          <w:lang w:eastAsia="de-DE"/>
        </w:rPr>
        <w:t xml:space="preserve"> for the case “</w:t>
      </w:r>
      <w:r w:rsidR="00F0691C">
        <w:t>data is not ready yet</w:t>
      </w:r>
      <w:r w:rsidR="00E01AD3">
        <w:t>,</w:t>
      </w:r>
      <w:r w:rsidR="00F0691C">
        <w:t xml:space="preserve"> but will be available shortly</w:t>
      </w:r>
      <w:r w:rsidR="00F0691C">
        <w:rPr>
          <w:rFonts w:eastAsia="Malgun Gothic"/>
          <w:lang w:eastAsia="de-DE"/>
        </w:rPr>
        <w:t xml:space="preserve">” makes more sense. And how to determine </w:t>
      </w:r>
      <w:r w:rsidR="00E01AD3">
        <w:rPr>
          <w:rFonts w:eastAsia="Malgun Gothic"/>
          <w:lang w:eastAsia="de-DE"/>
        </w:rPr>
        <w:t xml:space="preserve">whether </w:t>
      </w:r>
      <w:r w:rsidR="00F0691C">
        <w:rPr>
          <w:rFonts w:eastAsia="Malgun Gothic"/>
          <w:lang w:eastAsia="de-DE"/>
        </w:rPr>
        <w:t>the data will be available or not can</w:t>
      </w:r>
      <w:r w:rsidR="00367F23">
        <w:rPr>
          <w:rFonts w:eastAsia="Malgun Gothic"/>
          <w:lang w:eastAsia="de-DE"/>
        </w:rPr>
        <w:t xml:space="preserve"> be</w:t>
      </w:r>
      <w:r w:rsidR="00F0691C">
        <w:rPr>
          <w:rFonts w:eastAsia="Malgun Gothic"/>
          <w:lang w:eastAsia="de-DE"/>
        </w:rPr>
        <w:t xml:space="preserve"> left to</w:t>
      </w:r>
      <w:r>
        <w:rPr>
          <w:rFonts w:eastAsia="Malgun Gothic"/>
          <w:lang w:eastAsia="de-DE"/>
        </w:rPr>
        <w:t xml:space="preserve"> device implementation.</w:t>
      </w:r>
    </w:p>
    <w:p w14:paraId="42C995D2" w14:textId="37A7E5ED" w:rsidR="00597F5D" w:rsidRDefault="00597F5D" w:rsidP="00597F5D">
      <w:pPr>
        <w:pStyle w:val="Observation-HW"/>
      </w:pPr>
      <w:r>
        <w:t>Observation 2:</w:t>
      </w:r>
      <w:r>
        <w:tab/>
        <w:t xml:space="preserve">Although the </w:t>
      </w:r>
      <w:r w:rsidR="00E01AD3">
        <w:t>“</w:t>
      </w:r>
      <w:r>
        <w:t>More Data Indication</w:t>
      </w:r>
      <w:r w:rsidR="00E01AD3">
        <w:t>”</w:t>
      </w:r>
      <w:r>
        <w:t xml:space="preserve"> field has been agreed during </w:t>
      </w:r>
      <w:r w:rsidR="00E01AD3">
        <w:t xml:space="preserve">the </w:t>
      </w:r>
      <w:r>
        <w:t>segmentation discussion, it needs to cover non-segmentation case if present, which means this indication is not specific to segmented MAC PDUs.</w:t>
      </w:r>
    </w:p>
    <w:p w14:paraId="64249D2C" w14:textId="101B9BC3" w:rsidR="00E7595F" w:rsidRDefault="00336ECE">
      <w:pPr>
        <w:pStyle w:val="Proposal-HW"/>
      </w:pPr>
      <w:r>
        <w:t>Proposal 2a:</w:t>
      </w:r>
      <w:r>
        <w:tab/>
        <w:t>(Issue 3-7) RAN2 confirms that more data indication is mandatory</w:t>
      </w:r>
      <w:r>
        <w:rPr>
          <w:color w:val="000000"/>
          <w:sz w:val="26"/>
          <w:szCs w:val="26"/>
        </w:rPr>
        <w:t xml:space="preserve"> </w:t>
      </w:r>
      <w:r>
        <w:t>field</w:t>
      </w:r>
      <w:r w:rsidR="00995C0C" w:rsidRPr="00995C0C">
        <w:t xml:space="preserve"> </w:t>
      </w:r>
      <w:r w:rsidR="00995C0C">
        <w:t xml:space="preserve">(as captured in the </w:t>
      </w:r>
      <w:r w:rsidR="0064719E">
        <w:t xml:space="preserve">MAC </w:t>
      </w:r>
      <w:r w:rsidR="00995C0C">
        <w:t>running CR)</w:t>
      </w:r>
      <w:r>
        <w:t xml:space="preserve">. </w:t>
      </w:r>
    </w:p>
    <w:p w14:paraId="6BAE8F80" w14:textId="0E96EA65" w:rsidR="00E7595F" w:rsidRDefault="00336ECE">
      <w:pPr>
        <w:pStyle w:val="Proposal-HW"/>
      </w:pPr>
      <w:r>
        <w:t>Proposal 2b:</w:t>
      </w:r>
      <w:r>
        <w:tab/>
        <w:t xml:space="preserve">(Issue 3-7) Device sets the value to ‘1’ for More Data Indication field, when the upper layer data is not </w:t>
      </w:r>
      <w:r w:rsidR="00021F4F">
        <w:t>ready yet</w:t>
      </w:r>
      <w:r w:rsidR="00E01AD3">
        <w:t xml:space="preserve">, </w:t>
      </w:r>
      <w:r w:rsidR="00021F4F">
        <w:t>but will be available shortly</w:t>
      </w:r>
      <w:r>
        <w:t>.</w:t>
      </w:r>
      <w:r w:rsidR="004C0885" w:rsidRPr="004C0885">
        <w:t xml:space="preserve"> </w:t>
      </w:r>
      <w:r w:rsidR="004C0885">
        <w:t>(Already covered by post-email summary)</w:t>
      </w:r>
    </w:p>
    <w:p w14:paraId="58D7ED83" w14:textId="1F058D4D" w:rsidR="00E7595F" w:rsidRDefault="00336ECE">
      <w:pPr>
        <w:pStyle w:val="Heading3"/>
      </w:pPr>
      <w:r>
        <w:t>2.2.2</w:t>
      </w:r>
      <w:r>
        <w:tab/>
        <w:t>CT1 LS</w:t>
      </w:r>
    </w:p>
    <w:p w14:paraId="53596100" w14:textId="77777777" w:rsidR="00E7595F" w:rsidRDefault="00336ECE">
      <w:pPr>
        <w:rPr>
          <w:rFonts w:eastAsia="Malgun Gothic"/>
          <w:lang w:eastAsia="de-DE"/>
        </w:rPr>
      </w:pPr>
      <w:r>
        <w:rPr>
          <w:rFonts w:eastAsia="Malgun Gothic"/>
          <w:lang w:eastAsia="de-DE"/>
        </w:rPr>
        <w:t>As introduced in RAN2 LS to CT1:</w:t>
      </w:r>
    </w:p>
    <w:tbl>
      <w:tblPr>
        <w:tblStyle w:val="TableGrid"/>
        <w:tblW w:w="0" w:type="auto"/>
        <w:tblLook w:val="04A0" w:firstRow="1" w:lastRow="0" w:firstColumn="1" w:lastColumn="0" w:noHBand="0" w:noVBand="1"/>
      </w:tblPr>
      <w:tblGrid>
        <w:gridCol w:w="9631"/>
      </w:tblGrid>
      <w:tr w:rsidR="00E7595F" w14:paraId="10153469" w14:textId="77777777">
        <w:tc>
          <w:tcPr>
            <w:tcW w:w="9631" w:type="dxa"/>
          </w:tcPr>
          <w:p w14:paraId="26EB3017" w14:textId="77777777" w:rsidR="00E7595F" w:rsidRDefault="00336ECE">
            <w:pPr>
              <w:rPr>
                <w:rFonts w:eastAsia="Malgun Gothic"/>
                <w:b/>
                <w:lang w:val="en-US" w:eastAsia="de-DE"/>
              </w:rPr>
            </w:pPr>
            <w:r>
              <w:rPr>
                <w:rFonts w:eastAsia="Malgun Gothic"/>
                <w:b/>
                <w:lang w:val="en-US" w:eastAsia="de-DE"/>
              </w:rPr>
              <w:t>DRAFT LS on delayed A-IoT D2R NAS messages (from RAN2 to CT1)</w:t>
            </w:r>
          </w:p>
          <w:p w14:paraId="27A0BC32" w14:textId="77777777" w:rsidR="00E7595F" w:rsidRDefault="00336ECE">
            <w:pPr>
              <w:tabs>
                <w:tab w:val="center" w:pos="4153"/>
                <w:tab w:val="right" w:pos="8306"/>
              </w:tabs>
              <w:spacing w:beforeLines="50" w:before="120" w:after="120"/>
              <w:jc w:val="both"/>
              <w:rPr>
                <w:rFonts w:asciiTheme="minorHAnsi" w:hAnsiTheme="minorHAnsi" w:cstheme="minorHAnsi"/>
                <w:sz w:val="21"/>
                <w:szCs w:val="21"/>
                <w:lang w:val="en-US" w:eastAsia="zh-CN"/>
              </w:rPr>
            </w:pPr>
            <w:r>
              <w:rPr>
                <w:rFonts w:asciiTheme="minorHAnsi" w:hAnsiTheme="minorHAnsi" w:cstheme="minorHAnsi"/>
                <w:sz w:val="21"/>
                <w:szCs w:val="21"/>
                <w:lang w:val="en-US" w:eastAsia="zh-CN"/>
              </w:rPr>
              <w:t>RAN2 understand that the device may, for example, receive a write command message from the reader, pass the command message to NAS layer, and when the scheduled D2R occasion for the response arrives, transmit the MAC response with an empty SDU if the NAS response has not yet been delivered to MAC as indicated in the agreement above.</w:t>
            </w:r>
          </w:p>
          <w:p w14:paraId="5C609BD6" w14:textId="77777777" w:rsidR="00E7595F" w:rsidRDefault="00336ECE">
            <w:pPr>
              <w:tabs>
                <w:tab w:val="center" w:pos="4153"/>
                <w:tab w:val="right" w:pos="8306"/>
              </w:tabs>
              <w:spacing w:beforeLines="50" w:before="120" w:after="120"/>
              <w:jc w:val="both"/>
              <w:rPr>
                <w:rFonts w:asciiTheme="minorHAnsi" w:hAnsiTheme="minorHAnsi" w:cstheme="minorHAnsi"/>
                <w:sz w:val="21"/>
                <w:szCs w:val="21"/>
                <w:lang w:val="en-US" w:eastAsia="zh-CN"/>
              </w:rPr>
            </w:pPr>
            <w:r>
              <w:rPr>
                <w:rFonts w:asciiTheme="minorHAnsi" w:hAnsiTheme="minorHAnsi" w:cstheme="minorHAnsi"/>
                <w:sz w:val="21"/>
                <w:szCs w:val="21"/>
                <w:lang w:val="en-US" w:eastAsia="zh-CN"/>
              </w:rPr>
              <w:t>However, RAN2 protocol design does not allow transmission of the NAS response if it is delivered to the device MAC layer later, when no D2R radio resources are provided by the reader to transmit the response (e.g., if the write operation at the device takes longer than expected), as shown in the figure below.</w:t>
            </w:r>
          </w:p>
          <w:p w14:paraId="01473A23" w14:textId="77777777" w:rsidR="00E7595F" w:rsidRDefault="00336ECE">
            <w:pPr>
              <w:rPr>
                <w:lang w:val="en-US" w:eastAsia="zh-CN"/>
              </w:rPr>
            </w:pPr>
            <w:r>
              <w:rPr>
                <w:lang w:val="en-US" w:eastAsia="zh-CN"/>
              </w:rPr>
              <w:object w:dxaOrig="7247" w:dyaOrig="2144" w14:anchorId="43214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107.55pt" o:ole="">
                  <v:imagedata r:id="rId9" o:title=""/>
                </v:shape>
                <o:OLEObject Type="Embed" ProgID="Visio.Drawing.15" ShapeID="_x0000_i1025" DrawAspect="Content" ObjectID="_1816762043" r:id="rId10"/>
              </w:object>
            </w:r>
          </w:p>
          <w:p w14:paraId="65B29BF0" w14:textId="77777777" w:rsidR="00E7595F" w:rsidRDefault="00336ECE">
            <w:pPr>
              <w:tabs>
                <w:tab w:val="center" w:pos="4153"/>
                <w:tab w:val="right" w:pos="8306"/>
              </w:tabs>
              <w:spacing w:beforeLines="50" w:before="120" w:after="120"/>
              <w:jc w:val="both"/>
              <w:rPr>
                <w:rFonts w:eastAsia="Malgun Gothic"/>
                <w:lang w:val="en-US" w:eastAsia="de-DE"/>
              </w:rPr>
            </w:pPr>
            <w:r>
              <w:rPr>
                <w:rFonts w:asciiTheme="minorHAnsi" w:hAnsiTheme="minorHAnsi" w:cstheme="minorHAnsi"/>
                <w:sz w:val="21"/>
                <w:szCs w:val="21"/>
                <w:lang w:val="en-US" w:eastAsia="zh-CN"/>
              </w:rPr>
              <w:t>For such a case, RAN2 have not agreed on a mechanism for the device to transmit the delayed NAS response to the reader.  RAN2 would prefer that this situation be avoided or handled by CT1.  As one potential approach, RAN2 considered that the device NAS layer might generate and deliver to the device MAC layer an immediate NAS response upon successful reception of a command (e.g., a write command), without waiting for the command to execute.  RAN2 acknowledge that such a solution is in CT1 remit to decide.</w:t>
            </w:r>
          </w:p>
        </w:tc>
      </w:tr>
    </w:tbl>
    <w:p w14:paraId="18885B0A" w14:textId="05BFC577" w:rsidR="00E7595F" w:rsidRDefault="00336ECE">
      <w:pPr>
        <w:rPr>
          <w:rFonts w:eastAsia="Malgun Gothic"/>
          <w:lang w:eastAsia="de-DE"/>
        </w:rPr>
      </w:pPr>
      <w:r>
        <w:rPr>
          <w:rFonts w:eastAsia="Malgun Gothic"/>
          <w:lang w:val="en-US" w:eastAsia="de-DE"/>
        </w:rPr>
        <w:t xml:space="preserve">The delayed </w:t>
      </w:r>
      <w:bookmarkStart w:id="22" w:name="OLE_LINK87"/>
      <w:r>
        <w:rPr>
          <w:rFonts w:eastAsia="Malgun Gothic"/>
          <w:lang w:val="en-US" w:eastAsia="de-DE"/>
        </w:rPr>
        <w:t xml:space="preserve">write </w:t>
      </w:r>
      <w:bookmarkEnd w:id="22"/>
      <w:r>
        <w:rPr>
          <w:rFonts w:eastAsia="Malgun Gothic"/>
          <w:lang w:val="en-US" w:eastAsia="de-DE"/>
        </w:rPr>
        <w:t>command response might be later than the D2R occasion</w:t>
      </w:r>
      <w:r w:rsidR="00603090">
        <w:rPr>
          <w:rFonts w:eastAsia="Malgun Gothic"/>
          <w:lang w:val="en-US" w:eastAsia="de-DE"/>
        </w:rPr>
        <w:t xml:space="preserve"> </w:t>
      </w:r>
      <w:r w:rsidR="00603090">
        <w:rPr>
          <w:rFonts w:eastAsia="Malgun Gothic"/>
          <w:lang w:eastAsia="de-DE"/>
        </w:rPr>
        <w:t xml:space="preserve">scheduled by the </w:t>
      </w:r>
      <w:r w:rsidR="00603090">
        <w:rPr>
          <w:i/>
          <w:iCs/>
        </w:rPr>
        <w:t>R2D Upper Layer Data Transfer</w:t>
      </w:r>
      <w:r w:rsidR="00603090">
        <w:rPr>
          <w:rFonts w:eastAsia="Malgun Gothic"/>
          <w:lang w:eastAsia="de-DE"/>
        </w:rPr>
        <w:t xml:space="preserve"> message containing the write command</w:t>
      </w:r>
      <w:r>
        <w:rPr>
          <w:rFonts w:eastAsia="Malgun Gothic"/>
          <w:lang w:val="en-US" w:eastAsia="de-DE"/>
        </w:rPr>
        <w:t>. If the write command execution is finished, the device needs a new D2R occasion scheduled by reader to transmit the response of “successful execution”. To avoid additional spec impact, reader can later re-send the same R2D upper layer (the same write command) later. Since the command is the same, the device can find that the content to be written is the same as the content stored in the target memory. Then, by device implementation, a device can determine whether to sends “successful execution”</w:t>
      </w:r>
      <w:r>
        <w:rPr>
          <w:rFonts w:eastAsia="Malgun Gothic"/>
          <w:lang w:eastAsia="de-DE"/>
        </w:rPr>
        <w:t xml:space="preserve"> </w:t>
      </w:r>
      <w:r>
        <w:rPr>
          <w:rFonts w:eastAsia="Malgun Gothic"/>
          <w:lang w:val="en-US" w:eastAsia="de-DE"/>
        </w:rPr>
        <w:t xml:space="preserve">response depending on whether the write operation is on-going. If there is no on-going write operation, the </w:t>
      </w:r>
      <w:bookmarkStart w:id="23" w:name="OLE_LINK89"/>
      <w:bookmarkStart w:id="24" w:name="OLE_LINK88"/>
      <w:r>
        <w:rPr>
          <w:rFonts w:eastAsia="Malgun Gothic"/>
          <w:lang w:val="en-US" w:eastAsia="de-DE"/>
        </w:rPr>
        <w:t>device immediately replies a “successful execution”</w:t>
      </w:r>
      <w:r>
        <w:rPr>
          <w:rFonts w:eastAsia="Malgun Gothic"/>
          <w:lang w:eastAsia="de-DE"/>
        </w:rPr>
        <w:t xml:space="preserve"> </w:t>
      </w:r>
      <w:r>
        <w:rPr>
          <w:rFonts w:eastAsia="Malgun Gothic"/>
          <w:lang w:val="en-US" w:eastAsia="de-DE"/>
        </w:rPr>
        <w:t xml:space="preserve">response </w:t>
      </w:r>
      <w:bookmarkEnd w:id="23"/>
      <w:bookmarkEnd w:id="24"/>
      <w:r>
        <w:rPr>
          <w:rFonts w:eastAsia="Malgun Gothic"/>
          <w:lang w:val="en-US" w:eastAsia="de-DE"/>
        </w:rPr>
        <w:t xml:space="preserve">and does not execute the redundant write operation. </w:t>
      </w:r>
      <w:bookmarkStart w:id="25" w:name="OLE_LINK90"/>
      <w:r>
        <w:rPr>
          <w:rFonts w:eastAsia="Malgun Gothic"/>
          <w:lang w:val="en-US" w:eastAsia="de-DE"/>
        </w:rPr>
        <w:t>Otherwise, device does not reply the “successful execution”</w:t>
      </w:r>
      <w:r>
        <w:rPr>
          <w:rFonts w:eastAsia="Malgun Gothic"/>
          <w:lang w:eastAsia="de-DE"/>
        </w:rPr>
        <w:t xml:space="preserve"> </w:t>
      </w:r>
      <w:r>
        <w:rPr>
          <w:rFonts w:eastAsia="Malgun Gothic"/>
          <w:lang w:val="en-US" w:eastAsia="de-DE"/>
        </w:rPr>
        <w:t xml:space="preserve">response and continue executing the on-going write operation. For example, it can </w:t>
      </w:r>
      <w:r>
        <w:rPr>
          <w:rFonts w:eastAsia="Malgun Gothic"/>
          <w:lang w:eastAsia="de-DE"/>
        </w:rPr>
        <w:t xml:space="preserve">take no action or </w:t>
      </w:r>
      <w:r>
        <w:rPr>
          <w:rFonts w:eastAsia="Malgun Gothic"/>
          <w:lang w:val="en-US" w:eastAsia="de-DE"/>
        </w:rPr>
        <w:t xml:space="preserve">send </w:t>
      </w:r>
      <w:r>
        <w:rPr>
          <w:rFonts w:eastAsia="Malgun Gothic"/>
          <w:lang w:eastAsia="de-DE"/>
        </w:rPr>
        <w:t>"</w:t>
      </w:r>
      <w:r>
        <w:rPr>
          <w:rFonts w:eastAsia="Malgun Gothic"/>
          <w:lang w:val="en-US" w:eastAsia="de-DE"/>
        </w:rPr>
        <w:t>0 SDU</w:t>
      </w:r>
      <w:r>
        <w:rPr>
          <w:rFonts w:eastAsia="Malgun Gothic"/>
          <w:lang w:eastAsia="de-DE"/>
        </w:rPr>
        <w:t>" packet</w:t>
      </w:r>
      <w:r>
        <w:rPr>
          <w:rFonts w:eastAsia="Malgun Gothic"/>
          <w:lang w:val="en-US" w:eastAsia="de-DE"/>
        </w:rPr>
        <w:t xml:space="preserve"> to </w:t>
      </w:r>
      <w:r>
        <w:rPr>
          <w:rFonts w:eastAsia="Malgun Gothic"/>
          <w:lang w:eastAsia="de-DE"/>
        </w:rPr>
        <w:t xml:space="preserve">reader and this means </w:t>
      </w:r>
      <w:r>
        <w:rPr>
          <w:rFonts w:eastAsia="Malgun Gothic"/>
          <w:lang w:val="en-US" w:eastAsia="de-DE"/>
        </w:rPr>
        <w:t>the write operation is on-going.</w:t>
      </w:r>
      <w:bookmarkEnd w:id="25"/>
    </w:p>
    <w:p w14:paraId="731C8E93" w14:textId="2CD5076D" w:rsidR="00A3381D" w:rsidRDefault="00336ECE">
      <w:pPr>
        <w:pStyle w:val="Proposal-HW"/>
      </w:pPr>
      <w:r>
        <w:t>Proposal 3:</w:t>
      </w:r>
      <w:r>
        <w:tab/>
      </w:r>
      <w:bookmarkStart w:id="26" w:name="OLE_LINK66"/>
      <w:r>
        <w:t xml:space="preserve">(Issue 3-6) </w:t>
      </w:r>
      <w:bookmarkEnd w:id="26"/>
      <w:r w:rsidR="00A3381D">
        <w:t>No further RAN2 standard action is needed</w:t>
      </w:r>
      <w:r w:rsidR="00F87F8B">
        <w:t>,</w:t>
      </w:r>
      <w:r w:rsidR="0080063C">
        <w:t xml:space="preserve"> regardless the CT1 reply</w:t>
      </w:r>
      <w:r w:rsidR="00A3381D">
        <w:t>:</w:t>
      </w:r>
    </w:p>
    <w:p w14:paraId="42195FA1" w14:textId="2451B934" w:rsidR="00E7595F" w:rsidRDefault="00336ECE" w:rsidP="009572D9">
      <w:pPr>
        <w:pStyle w:val="Sub-bulletofproposal"/>
      </w:pPr>
      <w:r>
        <w:lastRenderedPageBreak/>
        <w:t xml:space="preserve">In case CT1 concludes “successful execution” as the D2R response for write, implementation </w:t>
      </w:r>
      <w:proofErr w:type="spellStart"/>
      <w:r>
        <w:t>behaviors</w:t>
      </w:r>
      <w:proofErr w:type="spellEnd"/>
      <w:r>
        <w:t xml:space="preserve"> can be </w:t>
      </w:r>
      <w:r w:rsidR="00063118">
        <w:t xml:space="preserve">the </w:t>
      </w:r>
      <w:r>
        <w:t>following:</w:t>
      </w:r>
    </w:p>
    <w:p w14:paraId="62768AE3" w14:textId="6C865224" w:rsidR="00E7595F" w:rsidRDefault="00336ECE" w:rsidP="009572D9">
      <w:pPr>
        <w:pStyle w:val="Sub-bulletofproposal"/>
        <w:numPr>
          <w:ilvl w:val="1"/>
          <w:numId w:val="7"/>
        </w:numPr>
        <w:ind w:leftChars="0" w:firstLineChars="0"/>
      </w:pPr>
      <w:r>
        <w:t>Reader sends another R2D upper layer data message later</w:t>
      </w:r>
      <w:r w:rsidR="00916A8E">
        <w:t xml:space="preserve"> (if </w:t>
      </w:r>
      <w:r w:rsidR="00E3768A">
        <w:t xml:space="preserve">D2R with </w:t>
      </w:r>
      <w:r w:rsidR="00916A8E">
        <w:t>“zero SDU” is received)</w:t>
      </w:r>
      <w:r>
        <w:t>;</w:t>
      </w:r>
    </w:p>
    <w:p w14:paraId="78BB19C7" w14:textId="3C9E5D25" w:rsidR="00E7595F" w:rsidRDefault="00336ECE" w:rsidP="009572D9">
      <w:pPr>
        <w:pStyle w:val="Sub-bulletofproposal"/>
        <w:numPr>
          <w:ilvl w:val="1"/>
          <w:numId w:val="7"/>
        </w:numPr>
        <w:ind w:leftChars="0" w:firstLineChars="0"/>
      </w:pPr>
      <w:r>
        <w:t xml:space="preserve">Device implementation avoids the redundant write operation (by identifying the same command), and directly sends the </w:t>
      </w:r>
      <w:r w:rsidR="007D4241">
        <w:t xml:space="preserve">actual </w:t>
      </w:r>
      <w:r>
        <w:t>D2R response.</w:t>
      </w:r>
    </w:p>
    <w:p w14:paraId="3CD8D60A" w14:textId="491893EA" w:rsidR="00E7595F" w:rsidRDefault="00336ECE" w:rsidP="009572D9">
      <w:pPr>
        <w:pStyle w:val="Sub-bulletofproposal"/>
      </w:pPr>
      <w:r>
        <w:t xml:space="preserve">Otherwise, no </w:t>
      </w:r>
      <w:r w:rsidR="003045ED">
        <w:t xml:space="preserve">further </w:t>
      </w:r>
      <w:r>
        <w:t>RAN2 action is needed</w:t>
      </w:r>
      <w:r w:rsidR="00FE5B84">
        <w:t xml:space="preserve"> either</w:t>
      </w:r>
      <w:r w:rsidR="001B23AF">
        <w:t xml:space="preserve"> (i.e., </w:t>
      </w:r>
      <w:r w:rsidR="00063118">
        <w:t xml:space="preserve">the </w:t>
      </w:r>
      <w:r w:rsidR="001B23AF">
        <w:t xml:space="preserve">issue </w:t>
      </w:r>
      <w:r w:rsidR="00063118">
        <w:t xml:space="preserve">is </w:t>
      </w:r>
      <w:r w:rsidR="001B23AF">
        <w:t>address</w:t>
      </w:r>
      <w:r w:rsidR="001523CD">
        <w:t>ed</w:t>
      </w:r>
      <w:r w:rsidR="001B23AF">
        <w:t xml:space="preserve"> by CT1)</w:t>
      </w:r>
      <w:r>
        <w:t>.</w:t>
      </w:r>
    </w:p>
    <w:p w14:paraId="13BB71CF" w14:textId="29070840" w:rsidR="00E7595F" w:rsidRDefault="00336ECE">
      <w:pPr>
        <w:pStyle w:val="Heading3"/>
      </w:pPr>
      <w:r>
        <w:t>2.2.3</w:t>
      </w:r>
      <w:r>
        <w:tab/>
        <w:t>D2R message type (Issue 3-5)</w:t>
      </w:r>
    </w:p>
    <w:p w14:paraId="1909CD9F" w14:textId="77777777" w:rsidR="00E7595F" w:rsidRDefault="00336ECE">
      <w:pPr>
        <w:rPr>
          <w:rFonts w:eastAsia="Malgun Gothic"/>
          <w:lang w:eastAsia="zh-CN"/>
        </w:rPr>
      </w:pPr>
      <w:r>
        <w:rPr>
          <w:rFonts w:eastAsia="Malgun Gothic"/>
          <w:lang w:eastAsia="zh-CN"/>
        </w:rPr>
        <w:t>In last RAN2 meeting, 7-bit SDU length indication was agreed:</w:t>
      </w:r>
    </w:p>
    <w:tbl>
      <w:tblPr>
        <w:tblStyle w:val="TableGrid"/>
        <w:tblW w:w="0" w:type="auto"/>
        <w:tblLook w:val="04A0" w:firstRow="1" w:lastRow="0" w:firstColumn="1" w:lastColumn="0" w:noHBand="0" w:noVBand="1"/>
      </w:tblPr>
      <w:tblGrid>
        <w:gridCol w:w="9631"/>
      </w:tblGrid>
      <w:tr w:rsidR="00E7595F" w14:paraId="5CFD7579" w14:textId="77777777">
        <w:tc>
          <w:tcPr>
            <w:tcW w:w="9631" w:type="dxa"/>
          </w:tcPr>
          <w:p w14:paraId="282201D0" w14:textId="77777777" w:rsidR="00E7595F" w:rsidRDefault="00336ECE">
            <w:pPr>
              <w:rPr>
                <w:rFonts w:eastAsia="Malgun Gothic"/>
                <w:b/>
                <w:lang w:val="en-US" w:eastAsia="zh-CN"/>
              </w:rPr>
            </w:pPr>
            <w:r>
              <w:rPr>
                <w:rFonts w:eastAsia="Malgun Gothic"/>
                <w:b/>
                <w:lang w:val="en-US" w:eastAsia="zh-CN"/>
              </w:rPr>
              <w:t>RAN2#130 agreement:</w:t>
            </w:r>
          </w:p>
          <w:p w14:paraId="3BAC531E" w14:textId="77777777" w:rsidR="00E7595F" w:rsidRDefault="00336ECE">
            <w:pPr>
              <w:rPr>
                <w:rFonts w:eastAsia="Malgun Gothic"/>
                <w:lang w:val="en-US" w:eastAsia="zh-CN"/>
              </w:rPr>
            </w:pPr>
            <w:r>
              <w:rPr>
                <w:rFonts w:eastAsia="Malgun Gothic"/>
                <w:lang w:val="en-US" w:eastAsia="zh-CN"/>
              </w:rPr>
              <w:tab/>
              <w:t>A mandatory length field directly indicates the length of D2R data MAC SDU to support varying lengths of D2R data.    The size of length field is 7-bit in bytes.</w:t>
            </w:r>
          </w:p>
        </w:tc>
      </w:tr>
    </w:tbl>
    <w:p w14:paraId="0290790E" w14:textId="77777777" w:rsidR="00E7595F" w:rsidRDefault="00336ECE">
      <w:pPr>
        <w:rPr>
          <w:rFonts w:eastAsia="宋体"/>
          <w:lang w:eastAsia="zh-CN"/>
        </w:rPr>
      </w:pPr>
      <w:r>
        <w:rPr>
          <w:rFonts w:eastAsia="Malgun Gothic"/>
          <w:lang w:eastAsia="zh-CN"/>
        </w:rPr>
        <w:t>By 7-bit indication, a value in range of 0~127 bytes can be indicated. On the other hand, a</w:t>
      </w:r>
      <w:r>
        <w:rPr>
          <w:rFonts w:eastAsia="等线"/>
          <w:lang w:val="en-US" w:eastAsia="zh-CN"/>
        </w:rPr>
        <w:t>ccording to the RAN TR, the maximum TB size is around 1000 bits (125 bytes):</w:t>
      </w:r>
    </w:p>
    <w:tbl>
      <w:tblPr>
        <w:tblStyle w:val="TableGrid"/>
        <w:tblW w:w="0" w:type="auto"/>
        <w:tblLook w:val="04A0" w:firstRow="1" w:lastRow="0" w:firstColumn="1" w:lastColumn="0" w:noHBand="0" w:noVBand="1"/>
      </w:tblPr>
      <w:tblGrid>
        <w:gridCol w:w="9631"/>
      </w:tblGrid>
      <w:tr w:rsidR="00E7595F" w14:paraId="3208AD18" w14:textId="77777777">
        <w:tc>
          <w:tcPr>
            <w:tcW w:w="9631" w:type="dxa"/>
          </w:tcPr>
          <w:p w14:paraId="7B80B63F" w14:textId="77777777" w:rsidR="00E7595F" w:rsidRDefault="00336ECE">
            <w:pPr>
              <w:rPr>
                <w:rFonts w:eastAsia="等线"/>
                <w:b/>
                <w:lang w:val="en-US" w:eastAsia="zh-CN"/>
              </w:rPr>
            </w:pPr>
            <w:r>
              <w:rPr>
                <w:rFonts w:eastAsia="等线"/>
                <w:b/>
                <w:lang w:val="en-US" w:eastAsia="zh-CN"/>
              </w:rPr>
              <w:t>TR 38.769:</w:t>
            </w:r>
          </w:p>
          <w:p w14:paraId="13DC7685" w14:textId="77777777" w:rsidR="00E7595F" w:rsidRDefault="00336ECE">
            <w:pPr>
              <w:rPr>
                <w:lang w:val="en-US"/>
              </w:rPr>
            </w:pPr>
            <w:r>
              <w:rPr>
                <w:rFonts w:eastAsia="等线"/>
                <w:lang w:val="en-US" w:eastAsia="zh-CN"/>
              </w:rPr>
              <w:t xml:space="preserve">It is studied on the functionality of segmentation. It is understood that segmentation and reassembly would add complexity. Therefore, the simplified </w:t>
            </w:r>
            <w:r>
              <w:rPr>
                <w:lang w:val="en-US"/>
              </w:rPr>
              <w:t>segmentation in the A-IoT MAC layer is studied, considering following studies in physical layer:</w:t>
            </w:r>
          </w:p>
          <w:p w14:paraId="0BBB7874" w14:textId="77777777" w:rsidR="00E7595F" w:rsidRDefault="00336ECE">
            <w:pPr>
              <w:ind w:left="568" w:hanging="284"/>
              <w:rPr>
                <w:rFonts w:eastAsia="等线"/>
                <w:lang w:val="en-US" w:eastAsia="ko-KR"/>
              </w:rPr>
            </w:pPr>
            <w:r>
              <w:rPr>
                <w:rFonts w:eastAsia="等线"/>
                <w:lang w:val="en-US" w:eastAsia="ko-KR"/>
              </w:rPr>
              <w:t>-</w:t>
            </w:r>
            <w:r>
              <w:rPr>
                <w:rFonts w:eastAsia="等线"/>
                <w:lang w:val="en-US" w:eastAsia="ko-KR"/>
              </w:rPr>
              <w:tab/>
              <w:t xml:space="preserve">In both </w:t>
            </w:r>
            <w:r>
              <w:rPr>
                <w:iCs/>
                <w:lang w:val="en-US" w:eastAsia="ko-KR"/>
              </w:rPr>
              <w:t xml:space="preserve">R2D and D2R directions, there is no lower bound on the minimum TB size, and </w:t>
            </w:r>
            <w:r>
              <w:rPr>
                <w:rFonts w:eastAsia="等线"/>
                <w:lang w:val="en-US" w:eastAsia="ko-KR"/>
              </w:rPr>
              <w:t>a maximum TB size of around 1000 bits can be supported.</w:t>
            </w:r>
          </w:p>
        </w:tc>
      </w:tr>
    </w:tbl>
    <w:p w14:paraId="11E538FB" w14:textId="77777777" w:rsidR="00E7595F" w:rsidRDefault="00336ECE">
      <w:pPr>
        <w:rPr>
          <w:rFonts w:eastAsia="Malgun Gothic"/>
          <w:lang w:eastAsia="zh-CN"/>
        </w:rPr>
      </w:pPr>
      <w:proofErr w:type="gramStart"/>
      <w:r>
        <w:rPr>
          <w:rFonts w:eastAsia="Malgun Gothic"/>
          <w:lang w:eastAsia="zh-CN"/>
        </w:rPr>
        <w:t>So</w:t>
      </w:r>
      <w:proofErr w:type="gramEnd"/>
      <w:r>
        <w:rPr>
          <w:rFonts w:eastAsia="Malgun Gothic"/>
          <w:lang w:eastAsia="zh-CN"/>
        </w:rPr>
        <w:t xml:space="preserve"> two spare values, i.e., 126 and 127 bytes, will not be used.</w:t>
      </w:r>
    </w:p>
    <w:p w14:paraId="21C79EB2" w14:textId="08E94BD7" w:rsidR="00E7595F" w:rsidRDefault="00336ECE">
      <w:pPr>
        <w:pStyle w:val="Observation-HW"/>
      </w:pPr>
      <w:r>
        <w:t xml:space="preserve">Observation </w:t>
      </w:r>
      <w:r w:rsidR="00AB7813">
        <w:t>3</w:t>
      </w:r>
      <w:r>
        <w:t>:</w:t>
      </w:r>
      <w:r>
        <w:tab/>
        <w:t xml:space="preserve">(Issue 3-5) The SDU length field has two spare values {126, 127 </w:t>
      </w:r>
      <w:proofErr w:type="gramStart"/>
      <w:r>
        <w:t>byte</w:t>
      </w:r>
      <w:proofErr w:type="gramEnd"/>
      <w:r>
        <w:t xml:space="preserve">}, which exceed the PHY upper bound </w:t>
      </w:r>
      <w:r w:rsidR="00B93637">
        <w:t xml:space="preserve">of </w:t>
      </w:r>
      <w:r>
        <w:t>125 bytes.</w:t>
      </w:r>
    </w:p>
    <w:p w14:paraId="021FDE45" w14:textId="7B34197D" w:rsidR="00E7595F" w:rsidRDefault="00B7735D">
      <w:pPr>
        <w:jc w:val="both"/>
        <w:rPr>
          <w:color w:val="000000"/>
        </w:rPr>
      </w:pPr>
      <w:bookmarkStart w:id="27" w:name="OLE_LINK92"/>
      <w:proofErr w:type="gramStart"/>
      <w:r>
        <w:rPr>
          <w:color w:val="000000"/>
        </w:rPr>
        <w:t>Therefore</w:t>
      </w:r>
      <w:proofErr w:type="gramEnd"/>
      <w:r w:rsidR="00BF188B">
        <w:rPr>
          <w:color w:val="000000"/>
        </w:rPr>
        <w:t xml:space="preserve"> it</w:t>
      </w:r>
      <w:r>
        <w:rPr>
          <w:color w:val="000000"/>
        </w:rPr>
        <w:t xml:space="preserve"> i</w:t>
      </w:r>
      <w:r w:rsidR="00BF188B">
        <w:rPr>
          <w:color w:val="000000"/>
        </w:rPr>
        <w:t>s feasible to use t</w:t>
      </w:r>
      <w:r w:rsidR="00336ECE">
        <w:rPr>
          <w:color w:val="000000"/>
        </w:rPr>
        <w:t>hese two spare values to indicate D2R message types for future extension, and there is no need to introduce D2R message type field.</w:t>
      </w:r>
      <w:r w:rsidR="00BF188B">
        <w:rPr>
          <w:color w:val="000000"/>
        </w:rPr>
        <w:t xml:space="preserve"> Otherwise, adding D2R message type field in this release will cost one more byte for each transmission of inventory/command response, considering </w:t>
      </w:r>
      <w:r>
        <w:rPr>
          <w:color w:val="000000"/>
        </w:rPr>
        <w:t xml:space="preserve">that the </w:t>
      </w:r>
      <w:r w:rsidR="00BF188B">
        <w:rPr>
          <w:color w:val="000000"/>
        </w:rPr>
        <w:t xml:space="preserve">current MAC PDU format is already byte aligned with 1-bit more data indication, 7-bit SDU length and </w:t>
      </w:r>
      <w:r w:rsidR="006B1CA9">
        <w:rPr>
          <w:color w:val="000000"/>
        </w:rPr>
        <w:t>byte-aligned SDU</w:t>
      </w:r>
      <w:r w:rsidR="00BF188B">
        <w:rPr>
          <w:color w:val="000000"/>
        </w:rPr>
        <w:t>)</w:t>
      </w:r>
      <w:r w:rsidR="006B1CA9">
        <w:rPr>
          <w:color w:val="000000"/>
        </w:rPr>
        <w:t>.</w:t>
      </w:r>
    </w:p>
    <w:bookmarkEnd w:id="27"/>
    <w:p w14:paraId="1B9EBB1C" w14:textId="56D075FE" w:rsidR="00E7595F" w:rsidRDefault="00336ECE" w:rsidP="009572D9">
      <w:pPr>
        <w:pStyle w:val="Observation-HW"/>
      </w:pPr>
      <w:r>
        <w:t xml:space="preserve">Observation </w:t>
      </w:r>
      <w:r w:rsidR="00AB7813">
        <w:t>4</w:t>
      </w:r>
      <w:r>
        <w:t>:</w:t>
      </w:r>
      <w:r>
        <w:tab/>
      </w:r>
      <w:r w:rsidR="006B1D59">
        <w:t>Reserved</w:t>
      </w:r>
      <w:r>
        <w:t xml:space="preserve"> value “1111111” of the SDU length field can be used to indicate the possible future D2R new message type. </w:t>
      </w:r>
    </w:p>
    <w:p w14:paraId="337CE3F0" w14:textId="5538D91F" w:rsidR="00E7595F" w:rsidRDefault="00336ECE">
      <w:pPr>
        <w:pStyle w:val="Proposal-HW"/>
        <w:rPr>
          <w:rFonts w:eastAsia="Malgun Gothic"/>
          <w:lang w:eastAsia="zh-CN"/>
        </w:rPr>
      </w:pPr>
      <w:r>
        <w:t>Proposal 4</w:t>
      </w:r>
      <w:r w:rsidR="009738A7">
        <w:t>:</w:t>
      </w:r>
      <w:r w:rsidR="009738A7">
        <w:tab/>
      </w:r>
      <w:r w:rsidR="003A0413">
        <w:t>(Issue 3-5)</w:t>
      </w:r>
      <w:r w:rsidR="00C06A3E">
        <w:t xml:space="preserve"> </w:t>
      </w:r>
      <w:r>
        <w:t>Do not introduce D2R message type field.</w:t>
      </w:r>
      <w:r w:rsidR="004C0885">
        <w:t xml:space="preserve"> (Already covered by post-email summary)</w:t>
      </w:r>
    </w:p>
    <w:p w14:paraId="353EEB34" w14:textId="33C96E08" w:rsidR="00E7595F" w:rsidRDefault="00336ECE">
      <w:pPr>
        <w:pStyle w:val="Heading2"/>
        <w:rPr>
          <w:rFonts w:eastAsia="宋体"/>
          <w:lang w:eastAsia="zh-CN"/>
        </w:rPr>
      </w:pPr>
      <w:r>
        <w:rPr>
          <w:rFonts w:eastAsia="宋体"/>
          <w:lang w:eastAsia="zh-CN"/>
        </w:rPr>
        <w:t>2.3</w:t>
      </w:r>
      <w:r>
        <w:rPr>
          <w:rFonts w:eastAsia="宋体"/>
          <w:lang w:eastAsia="zh-CN"/>
        </w:rPr>
        <w:tab/>
        <w:t xml:space="preserve">R2D message content and R2D TBS </w:t>
      </w:r>
      <w:r>
        <w:t>(Issue 3-8)</w:t>
      </w:r>
    </w:p>
    <w:p w14:paraId="49D1F8A4" w14:textId="77777777" w:rsidR="00E7595F" w:rsidRDefault="00336ECE">
      <w:pPr>
        <w:rPr>
          <w:rFonts w:eastAsia="Malgun Gothic"/>
          <w:lang w:eastAsia="de-DE"/>
        </w:rPr>
      </w:pPr>
      <w:r>
        <w:rPr>
          <w:rFonts w:eastAsia="Malgun Gothic"/>
          <w:lang w:eastAsia="de-DE"/>
        </w:rPr>
        <w:t>RAN1 concluded CRC rules:</w:t>
      </w:r>
    </w:p>
    <w:tbl>
      <w:tblPr>
        <w:tblStyle w:val="TableGrid"/>
        <w:tblW w:w="0" w:type="auto"/>
        <w:tblLook w:val="04A0" w:firstRow="1" w:lastRow="0" w:firstColumn="1" w:lastColumn="0" w:noHBand="0" w:noVBand="1"/>
      </w:tblPr>
      <w:tblGrid>
        <w:gridCol w:w="9631"/>
      </w:tblGrid>
      <w:tr w:rsidR="00E7595F" w14:paraId="18820EFA" w14:textId="77777777">
        <w:tc>
          <w:tcPr>
            <w:tcW w:w="9631" w:type="dxa"/>
          </w:tcPr>
          <w:p w14:paraId="173C81C0" w14:textId="77777777" w:rsidR="00E7595F" w:rsidRDefault="00336ECE">
            <w:pPr>
              <w:rPr>
                <w:b/>
                <w:lang w:eastAsia="zh-CN"/>
              </w:rPr>
            </w:pPr>
            <w:r>
              <w:rPr>
                <w:b/>
                <w:lang w:eastAsia="zh-CN"/>
              </w:rPr>
              <w:t>RAN1#120bis Agreement:</w:t>
            </w:r>
          </w:p>
          <w:p w14:paraId="074A51E2" w14:textId="77777777" w:rsidR="00E7595F" w:rsidRDefault="00336ECE">
            <w:pPr>
              <w:rPr>
                <w:lang w:eastAsia="zh-CN"/>
              </w:rPr>
            </w:pPr>
            <w:r>
              <w:rPr>
                <w:lang w:eastAsia="zh-CN"/>
              </w:rPr>
              <w:t xml:space="preserve">When CRC is attached to a PRDCH or PDRCH transmission, when the number of information </w:t>
            </w:r>
            <w:r>
              <w:rPr>
                <w:highlight w:val="yellow"/>
                <w:lang w:eastAsia="zh-CN"/>
              </w:rPr>
              <w:t xml:space="preserve">bits is ≤ 24 bits, CRC-6 is used. </w:t>
            </w:r>
            <w:r>
              <w:rPr>
                <w:lang w:eastAsia="zh-CN"/>
              </w:rPr>
              <w:t xml:space="preserve">Otherwise, when the number of information bits </w:t>
            </w:r>
            <w:r>
              <w:rPr>
                <w:highlight w:val="yellow"/>
                <w:lang w:eastAsia="zh-CN"/>
              </w:rPr>
              <w:t>is &gt; 24 bits, CRC-16 is used</w:t>
            </w:r>
            <w:r>
              <w:rPr>
                <w:lang w:eastAsia="zh-CN"/>
              </w:rPr>
              <w:t>.</w:t>
            </w:r>
          </w:p>
          <w:p w14:paraId="4934083E" w14:textId="77777777" w:rsidR="00E7595F" w:rsidRDefault="00336ECE">
            <w:pPr>
              <w:rPr>
                <w:b/>
                <w:lang w:val="en-US" w:eastAsia="zh-CN"/>
              </w:rPr>
            </w:pPr>
            <w:r>
              <w:rPr>
                <w:b/>
                <w:lang w:val="en-US" w:eastAsia="zh-CN"/>
              </w:rPr>
              <w:t>R1-2504915 (LS from RAN1 to RAN2):</w:t>
            </w:r>
          </w:p>
          <w:p w14:paraId="6C2D14C1" w14:textId="77777777" w:rsidR="00E7595F" w:rsidRDefault="00336ECE">
            <w:pPr>
              <w:overflowPunct/>
              <w:autoSpaceDE/>
              <w:autoSpaceDN/>
              <w:adjustRightInd/>
              <w:spacing w:before="120" w:after="0"/>
              <w:textAlignment w:val="auto"/>
              <w:rPr>
                <w:lang w:val="en-US" w:eastAsia="zh-CN"/>
              </w:rPr>
            </w:pPr>
            <w:r>
              <w:rPr>
                <w:rFonts w:eastAsia="Yu Mincho"/>
                <w:b/>
                <w:bCs/>
                <w:lang w:val="en-US" w:eastAsia="en-US"/>
              </w:rPr>
              <w:t>ACTION:</w:t>
            </w:r>
            <w:r>
              <w:rPr>
                <w:rFonts w:eastAsia="Yu Mincho"/>
                <w:lang w:val="en-US" w:eastAsia="en-US"/>
              </w:rPr>
              <w:t xml:space="preserve"> RAN1 respectfully asks RAN</w:t>
            </w:r>
            <w:r>
              <w:rPr>
                <w:rFonts w:eastAsia="等线" w:hint="eastAsia"/>
                <w:lang w:val="en-US" w:eastAsia="zh-CN"/>
              </w:rPr>
              <w:t>2</w:t>
            </w:r>
            <w:r>
              <w:rPr>
                <w:rFonts w:eastAsia="Yu Mincho"/>
                <w:lang w:val="en-US" w:eastAsia="en-US"/>
              </w:rPr>
              <w:t xml:space="preserve"> </w:t>
            </w:r>
            <w:r>
              <w:rPr>
                <w:rFonts w:eastAsia="等线" w:hint="eastAsia"/>
                <w:lang w:val="en-US" w:eastAsia="zh-CN"/>
              </w:rPr>
              <w:t xml:space="preserve">to take the above RAN1 agreements into account when designing the higher layer </w:t>
            </w:r>
            <w:r>
              <w:rPr>
                <w:rFonts w:eastAsia="等线"/>
                <w:lang w:val="en-US" w:eastAsia="zh-CN"/>
              </w:rPr>
              <w:t xml:space="preserve">signalling, including defining </w:t>
            </w:r>
            <w:r>
              <w:rPr>
                <w:rFonts w:eastAsia="等线"/>
                <w:highlight w:val="yellow"/>
                <w:lang w:val="en-US" w:eastAsia="zh-CN"/>
              </w:rPr>
              <w:t>R2D TBS information (excluding CRC length)</w:t>
            </w:r>
            <w:r>
              <w:rPr>
                <w:rFonts w:eastAsia="等线"/>
                <w:lang w:val="en-US" w:eastAsia="zh-CN"/>
              </w:rPr>
              <w:t xml:space="preserve"> to be included in higher layer signaling, at least for messages with variable size</w:t>
            </w:r>
            <w:r>
              <w:rPr>
                <w:rFonts w:eastAsia="等线" w:hint="eastAsia"/>
                <w:lang w:val="en-US" w:eastAsia="zh-CN"/>
              </w:rPr>
              <w:t>.</w:t>
            </w:r>
            <w:r>
              <w:rPr>
                <w:lang w:val="en-US" w:eastAsia="zh-CN"/>
              </w:rPr>
              <w:t xml:space="preserve"> </w:t>
            </w:r>
          </w:p>
        </w:tc>
      </w:tr>
    </w:tbl>
    <w:p w14:paraId="50853ECC" w14:textId="77777777" w:rsidR="00E7595F" w:rsidRDefault="00336ECE">
      <w:r>
        <w:t>The CRC length depends on the R2D/D2R TBS. For reception of R2D message, a device can use R2D TBS information to determine the CRC length.</w:t>
      </w:r>
    </w:p>
    <w:p w14:paraId="22C6F7DF" w14:textId="5679D74B" w:rsidR="00E7595F" w:rsidRDefault="00336ECE">
      <w:pPr>
        <w:pStyle w:val="Observation-HW"/>
      </w:pPr>
      <w:r>
        <w:lastRenderedPageBreak/>
        <w:t xml:space="preserve">Observation </w:t>
      </w:r>
      <w:r w:rsidR="00AB7813">
        <w:t>5</w:t>
      </w:r>
      <w:r>
        <w:t>:</w:t>
      </w:r>
      <w:r>
        <w:tab/>
        <w:t>Some device implementation may use the R2D</w:t>
      </w:r>
      <w:r>
        <w:rPr>
          <w:bCs/>
        </w:rPr>
        <w:t xml:space="preserve"> </w:t>
      </w:r>
      <w:r>
        <w:t>TBS information to determine the CRC length (16-bit CRC if TBS&gt;24bits; 6-bit CRC otherwise).</w:t>
      </w:r>
    </w:p>
    <w:p w14:paraId="461FDEBB" w14:textId="77777777" w:rsidR="00E7595F" w:rsidRDefault="00336ECE">
      <w:pPr>
        <w:jc w:val="both"/>
        <w:rPr>
          <w:color w:val="000000"/>
        </w:rPr>
      </w:pPr>
      <w:r>
        <w:rPr>
          <w:color w:val="000000"/>
        </w:rPr>
        <w:t>As for the method of determining the end of PRDCH, the RAN1#121 meeting concluded:</w:t>
      </w:r>
    </w:p>
    <w:tbl>
      <w:tblPr>
        <w:tblStyle w:val="TableGrid"/>
        <w:tblW w:w="0" w:type="auto"/>
        <w:tblLook w:val="04A0" w:firstRow="1" w:lastRow="0" w:firstColumn="1" w:lastColumn="0" w:noHBand="0" w:noVBand="1"/>
      </w:tblPr>
      <w:tblGrid>
        <w:gridCol w:w="9631"/>
      </w:tblGrid>
      <w:tr w:rsidR="00E7595F" w14:paraId="10677C8A" w14:textId="77777777">
        <w:tc>
          <w:tcPr>
            <w:tcW w:w="9631" w:type="dxa"/>
          </w:tcPr>
          <w:p w14:paraId="4FB09907" w14:textId="77777777" w:rsidR="00E7595F" w:rsidRDefault="00336ECE">
            <w:pPr>
              <w:rPr>
                <w:b/>
                <w:lang w:eastAsia="zh-CN"/>
              </w:rPr>
            </w:pPr>
            <w:r>
              <w:rPr>
                <w:b/>
                <w:lang w:eastAsia="zh-CN"/>
              </w:rPr>
              <w:t>RAN1#121 Agreement:</w:t>
            </w:r>
          </w:p>
          <w:p w14:paraId="44EB8D5D" w14:textId="77777777" w:rsidR="00E7595F" w:rsidRDefault="00336ECE">
            <w:pPr>
              <w:autoSpaceDE/>
              <w:adjustRightInd/>
              <w:spacing w:after="0"/>
              <w:rPr>
                <w:rFonts w:ascii="Times" w:eastAsia="Batang" w:hAnsi="Times"/>
                <w:szCs w:val="24"/>
                <w:lang w:eastAsia="zh-CN"/>
              </w:rPr>
            </w:pPr>
            <w:r>
              <w:rPr>
                <w:rFonts w:ascii="Times" w:eastAsia="Batang" w:hAnsi="Times"/>
                <w:szCs w:val="24"/>
                <w:lang w:eastAsia="zh-CN"/>
              </w:rPr>
              <w:t xml:space="preserve">R2D postamble is specified with 4 ON chips corresponding to M value of the PRDCH </w:t>
            </w:r>
          </w:p>
          <w:p w14:paraId="1B9B113D" w14:textId="77777777" w:rsidR="00E7595F" w:rsidRDefault="00336ECE">
            <w:pPr>
              <w:numPr>
                <w:ilvl w:val="0"/>
                <w:numId w:val="11"/>
              </w:numPr>
              <w:overflowPunct/>
              <w:autoSpaceDE/>
              <w:adjustRightInd/>
              <w:spacing w:before="0" w:after="0"/>
              <w:contextualSpacing/>
              <w:textAlignment w:val="auto"/>
              <w:rPr>
                <w:rFonts w:ascii="Times" w:eastAsia="Batang" w:hAnsi="Times"/>
                <w:szCs w:val="24"/>
                <w:lang w:eastAsia="zh-CN"/>
              </w:rPr>
            </w:pPr>
            <w:r>
              <w:rPr>
                <w:rFonts w:ascii="Times" w:eastAsia="Batang" w:hAnsi="Times"/>
                <w:szCs w:val="24"/>
                <w:lang w:eastAsia="zh-CN"/>
              </w:rPr>
              <w:t>R2D postamble is added immediately after the PRDCH</w:t>
            </w:r>
          </w:p>
          <w:p w14:paraId="26F10C95" w14:textId="77777777" w:rsidR="00E7595F" w:rsidRDefault="00336ECE">
            <w:pPr>
              <w:numPr>
                <w:ilvl w:val="0"/>
                <w:numId w:val="11"/>
              </w:numPr>
              <w:overflowPunct/>
              <w:autoSpaceDE/>
              <w:adjustRightInd/>
              <w:spacing w:before="0" w:after="0"/>
              <w:contextualSpacing/>
              <w:textAlignment w:val="auto"/>
              <w:rPr>
                <w:rFonts w:ascii="Times" w:eastAsia="Batang" w:hAnsi="Times"/>
                <w:szCs w:val="24"/>
                <w:lang w:eastAsia="zh-CN"/>
              </w:rPr>
            </w:pPr>
            <w:r>
              <w:rPr>
                <w:rFonts w:ascii="Times" w:eastAsia="Batang" w:hAnsi="Times"/>
                <w:szCs w:val="24"/>
                <w:lang w:eastAsia="zh-CN"/>
              </w:rPr>
              <w:t>R2D postamble has always 4 ON chips</w:t>
            </w:r>
          </w:p>
          <w:p w14:paraId="087C652F" w14:textId="77777777" w:rsidR="00E7595F" w:rsidRDefault="00336ECE">
            <w:pPr>
              <w:numPr>
                <w:ilvl w:val="1"/>
                <w:numId w:val="11"/>
              </w:numPr>
              <w:overflowPunct/>
              <w:autoSpaceDE/>
              <w:adjustRightInd/>
              <w:spacing w:before="0" w:after="0"/>
              <w:contextualSpacing/>
              <w:textAlignment w:val="auto"/>
              <w:rPr>
                <w:rFonts w:ascii="Times" w:eastAsia="Batang" w:hAnsi="Times"/>
                <w:szCs w:val="24"/>
                <w:lang w:eastAsia="zh-CN"/>
              </w:rPr>
            </w:pPr>
            <w:r>
              <w:rPr>
                <w:rFonts w:ascii="Times" w:eastAsia="Batang" w:hAnsi="Times"/>
                <w:szCs w:val="24"/>
                <w:lang w:eastAsia="zh-CN"/>
              </w:rPr>
              <w:t>Note: For M=24, 2 ON chips at the end of OFDM symbol for CP handling are in addition to R2D postamble, and are not part of the R2D postamble</w:t>
            </w:r>
          </w:p>
          <w:p w14:paraId="27426044" w14:textId="77777777" w:rsidR="00E7595F" w:rsidRDefault="00336ECE">
            <w:pPr>
              <w:numPr>
                <w:ilvl w:val="0"/>
                <w:numId w:val="11"/>
              </w:numPr>
              <w:overflowPunct/>
              <w:autoSpaceDE/>
              <w:adjustRightInd/>
              <w:spacing w:before="0" w:after="0"/>
              <w:contextualSpacing/>
              <w:textAlignment w:val="auto"/>
              <w:rPr>
                <w:rFonts w:ascii="Times" w:eastAsia="Batang" w:hAnsi="Times"/>
                <w:szCs w:val="24"/>
                <w:lang w:eastAsia="zh-CN"/>
              </w:rPr>
            </w:pPr>
            <w:r>
              <w:rPr>
                <w:rFonts w:ascii="Times" w:eastAsia="Batang" w:hAnsi="Times"/>
                <w:szCs w:val="24"/>
                <w:lang w:eastAsia="zh-CN"/>
              </w:rPr>
              <w:t>R2D padding duration is determined after R2D postamble insertion</w:t>
            </w:r>
          </w:p>
          <w:p w14:paraId="3873E047" w14:textId="77777777" w:rsidR="00E7595F" w:rsidRDefault="00336ECE">
            <w:pPr>
              <w:autoSpaceDE/>
              <w:adjustRightInd/>
              <w:spacing w:after="0"/>
              <w:contextualSpacing/>
              <w:rPr>
                <w:rFonts w:ascii="Times" w:eastAsia="等线" w:hAnsi="Times"/>
                <w:szCs w:val="24"/>
                <w:lang w:eastAsia="zh-CN"/>
              </w:rPr>
            </w:pPr>
            <w:r>
              <w:rPr>
                <w:rFonts w:ascii="Times" w:eastAsia="等线" w:hAnsi="Times"/>
                <w:szCs w:val="24"/>
                <w:lang w:eastAsia="zh-CN"/>
              </w:rPr>
              <w:t>TBS information for R2D is supported via higher layer R2D control signalling.</w:t>
            </w:r>
          </w:p>
          <w:p w14:paraId="506FD9E3" w14:textId="77777777" w:rsidR="00E7595F" w:rsidRDefault="00336ECE">
            <w:pPr>
              <w:numPr>
                <w:ilvl w:val="0"/>
                <w:numId w:val="11"/>
              </w:numPr>
              <w:overflowPunct/>
              <w:autoSpaceDE/>
              <w:adjustRightInd/>
              <w:spacing w:before="0" w:after="0"/>
              <w:contextualSpacing/>
              <w:textAlignment w:val="auto"/>
              <w:rPr>
                <w:rFonts w:ascii="Times" w:eastAsia="等线" w:hAnsi="Times"/>
                <w:szCs w:val="24"/>
                <w:lang w:eastAsia="zh-CN"/>
              </w:rPr>
            </w:pPr>
            <w:r>
              <w:rPr>
                <w:rFonts w:ascii="Times" w:eastAsia="等线" w:hAnsi="Times"/>
                <w:szCs w:val="24"/>
                <w:lang w:eastAsia="zh-CN"/>
              </w:rPr>
              <w:t>Send LS to RAN2 asking to include R2D TBS information (excluding CRC length) in higher layer signaling, at least for messages with variable size.</w:t>
            </w:r>
          </w:p>
          <w:p w14:paraId="6E06A7FD" w14:textId="77777777" w:rsidR="00E7595F" w:rsidRDefault="00336ECE">
            <w:pPr>
              <w:autoSpaceDE/>
              <w:adjustRightInd/>
              <w:spacing w:after="0"/>
              <w:rPr>
                <w:rFonts w:ascii="Times" w:eastAsia="Batang" w:hAnsi="Times"/>
                <w:sz w:val="15"/>
                <w:szCs w:val="24"/>
                <w:lang w:eastAsia="en-US"/>
              </w:rPr>
            </w:pPr>
            <w:r>
              <w:rPr>
                <w:rFonts w:ascii="Times" w:eastAsia="Batang" w:hAnsi="Times"/>
                <w:szCs w:val="24"/>
                <w:highlight w:val="yellow"/>
                <w:lang w:eastAsia="zh-CN"/>
              </w:rPr>
              <w:t>Note: Exact method for determining the end of PRDCH at the device is not specified.</w:t>
            </w:r>
          </w:p>
        </w:tc>
      </w:tr>
    </w:tbl>
    <w:p w14:paraId="6D2175B3" w14:textId="1C4410CE" w:rsidR="00E7595F" w:rsidRDefault="00336ECE">
      <w:pPr>
        <w:pStyle w:val="Observation-HW"/>
      </w:pPr>
      <w:r>
        <w:t xml:space="preserve">Observation </w:t>
      </w:r>
      <w:r w:rsidR="00AB7813">
        <w:t>6</w:t>
      </w:r>
      <w:r>
        <w:t>:</w:t>
      </w:r>
      <w:r>
        <w:tab/>
        <w:t>RAN1 concluded it as implementation/unspecified on how to use TBS to determine the end of R2D.</w:t>
      </w:r>
    </w:p>
    <w:p w14:paraId="37AD3D61" w14:textId="77777777" w:rsidR="00E7595F" w:rsidRDefault="00336ECE">
      <w:pPr>
        <w:jc w:val="both"/>
        <w:rPr>
          <w:color w:val="000000"/>
        </w:rPr>
      </w:pPr>
      <w:r>
        <w:rPr>
          <w:color w:val="000000"/>
        </w:rPr>
        <w:t>To help determine the CRC length, 1-bit R2D TBS information can be included in R2D message. This 1-bit information indicates the R2D TBS is larger 24 bits or not. Given the CRC length, together with the determined R2D TB, the end of PRDCH can be determined.</w:t>
      </w:r>
    </w:p>
    <w:p w14:paraId="2141D54A" w14:textId="77777777" w:rsidR="00E7595F" w:rsidRDefault="00336ECE">
      <w:pPr>
        <w:jc w:val="both"/>
        <w:rPr>
          <w:color w:val="000000"/>
        </w:rPr>
      </w:pPr>
      <w:r>
        <w:rPr>
          <w:color w:val="000000"/>
        </w:rPr>
        <w:t xml:space="preserve">As for the fixed-size R2D message, i.e., </w:t>
      </w:r>
      <w:r>
        <w:t>Access Trigger message, the R2D TBS can be directly determined by R2D message type.</w:t>
      </w:r>
    </w:p>
    <w:p w14:paraId="75A03EB0" w14:textId="2E76AD06" w:rsidR="00E7595F" w:rsidRDefault="00336ECE">
      <w:pPr>
        <w:pStyle w:val="Proposal-HW"/>
      </w:pPr>
      <w:r>
        <w:t xml:space="preserve">Proposal </w:t>
      </w:r>
      <w:r w:rsidR="00954542">
        <w:t>5</w:t>
      </w:r>
      <w:r>
        <w:t>a:</w:t>
      </w:r>
      <w:r>
        <w:tab/>
        <w:t>(Issue 3-8) For fixed-size R2D message, there is no need of R2D TBS field, which can be determined directly by message</w:t>
      </w:r>
      <w:r>
        <w:rPr>
          <w:color w:val="000000"/>
        </w:rPr>
        <w:t xml:space="preserve"> </w:t>
      </w:r>
      <w:r>
        <w:t>type instead.</w:t>
      </w:r>
      <w:r w:rsidR="004C0885" w:rsidRPr="004C0885">
        <w:t xml:space="preserve"> </w:t>
      </w:r>
      <w:r w:rsidR="004C0885">
        <w:t>(Already covered by post-email summary)</w:t>
      </w:r>
    </w:p>
    <w:p w14:paraId="1F91D8BB" w14:textId="77777777" w:rsidR="00E7595F" w:rsidRDefault="00336ECE">
      <w:pPr>
        <w:rPr>
          <w:rFonts w:eastAsia="Malgun Gothic"/>
          <w:lang w:eastAsia="de-DE"/>
        </w:rPr>
      </w:pPr>
      <w:r>
        <w:rPr>
          <w:rFonts w:eastAsia="Malgun Gothic"/>
          <w:lang w:eastAsia="de-DE"/>
        </w:rPr>
        <w:t>In the previous RAN2 meetings, “</w:t>
      </w:r>
      <w:bookmarkStart w:id="28" w:name="OLE_LINK49"/>
      <w:bookmarkStart w:id="29" w:name="OLE_LINK50"/>
      <w:r>
        <w:t>Access Trigger message</w:t>
      </w:r>
      <w:bookmarkEnd w:id="28"/>
      <w:bookmarkEnd w:id="29"/>
      <w:r>
        <w:rPr>
          <w:rFonts w:eastAsia="Malgun Gothic"/>
          <w:lang w:eastAsia="de-DE"/>
        </w:rPr>
        <w:t xml:space="preserve">” was agreed to indicate the start of a set of access occasion(s). For the A-IoT MAC format design, the bit-alignment looks also attractive, to save signalling overhead. </w:t>
      </w:r>
      <w:bookmarkStart w:id="30" w:name="OLE_LINK213"/>
    </w:p>
    <w:p w14:paraId="39343BE6" w14:textId="77777777" w:rsidR="00E7595F" w:rsidRDefault="00336ECE">
      <w:pPr>
        <w:textAlignment w:val="auto"/>
        <w:rPr>
          <w:rFonts w:eastAsia="Malgun Gothic"/>
          <w:lang w:eastAsia="de-DE"/>
        </w:rPr>
      </w:pPr>
      <w:r>
        <w:rPr>
          <w:rFonts w:eastAsia="Malgun Gothic"/>
          <w:lang w:eastAsia="de-DE"/>
        </w:rPr>
        <w:t>The Msg1 transmission related configurations are provided in paging message rather than the new R2D message.</w:t>
      </w:r>
    </w:p>
    <w:tbl>
      <w:tblPr>
        <w:tblStyle w:val="10"/>
        <w:tblW w:w="9857" w:type="dxa"/>
        <w:tblLayout w:type="fixed"/>
        <w:tblLook w:val="04A0" w:firstRow="1" w:lastRow="0" w:firstColumn="1" w:lastColumn="0" w:noHBand="0" w:noVBand="1"/>
      </w:tblPr>
      <w:tblGrid>
        <w:gridCol w:w="9857"/>
      </w:tblGrid>
      <w:tr w:rsidR="00E7595F" w14:paraId="2E13170A" w14:textId="77777777">
        <w:tc>
          <w:tcPr>
            <w:tcW w:w="9857" w:type="dxa"/>
          </w:tcPr>
          <w:p w14:paraId="23EAC8B6" w14:textId="77777777" w:rsidR="00E7595F" w:rsidRDefault="00336ECE">
            <w:pPr>
              <w:overflowPunct/>
              <w:autoSpaceDE/>
              <w:autoSpaceDN/>
              <w:adjustRightInd/>
              <w:spacing w:before="0" w:after="0"/>
              <w:jc w:val="both"/>
              <w:textAlignment w:val="auto"/>
              <w:rPr>
                <w:rFonts w:eastAsia="Malgun Gothic"/>
                <w:b/>
                <w:lang w:val="en-US" w:eastAsia="zh-CN"/>
              </w:rPr>
            </w:pPr>
            <w:r>
              <w:rPr>
                <w:rFonts w:eastAsia="Malgun Gothic"/>
                <w:b/>
                <w:lang w:val="en-US" w:eastAsia="zh-CN"/>
              </w:rPr>
              <w:t>Agreements on new R2D message</w:t>
            </w:r>
          </w:p>
          <w:p w14:paraId="0122C603" w14:textId="77777777" w:rsidR="00E7595F" w:rsidRDefault="00336ECE">
            <w:pPr>
              <w:numPr>
                <w:ilvl w:val="0"/>
                <w:numId w:val="12"/>
              </w:numPr>
              <w:textAlignment w:val="auto"/>
              <w:rPr>
                <w:rFonts w:eastAsia="等线"/>
                <w:lang w:val="en-US" w:eastAsia="zh-CN"/>
              </w:rPr>
            </w:pPr>
            <w:r>
              <w:rPr>
                <w:rFonts w:ascii="Arial" w:eastAsia="MS Mincho" w:hAnsi="Arial"/>
                <w:bCs/>
                <w:szCs w:val="24"/>
                <w:lang w:val="en-US" w:eastAsia="en-GB"/>
              </w:rPr>
              <w:t xml:space="preserve">A new R2D message other than the paging message is introduced for A-IoT device determining MSG1 resources unless RAN1 concludes to use L1 signaling.   The </w:t>
            </w:r>
            <w:r>
              <w:rPr>
                <w:rFonts w:ascii="Arial" w:eastAsia="MS Mincho" w:hAnsi="Arial"/>
                <w:bCs/>
                <w:szCs w:val="24"/>
                <w:lang w:val="en-US" w:eastAsia="ko-KR"/>
              </w:rPr>
              <w:t xml:space="preserve">R2D </w:t>
            </w:r>
            <w:r>
              <w:rPr>
                <w:rFonts w:ascii="Arial" w:eastAsia="MS Mincho" w:hAnsi="Arial"/>
                <w:bCs/>
                <w:szCs w:val="24"/>
                <w:lang w:val="en-US" w:eastAsia="en-GB"/>
              </w:rPr>
              <w:t>message</w:t>
            </w:r>
            <w:r>
              <w:rPr>
                <w:rFonts w:ascii="Arial" w:eastAsia="MS Mincho" w:hAnsi="Arial"/>
                <w:bCs/>
                <w:szCs w:val="24"/>
                <w:lang w:val="en-US" w:eastAsia="ko-KR"/>
              </w:rPr>
              <w:t xml:space="preserve"> indicates the start of a set of MSG1 resources that were</w:t>
            </w:r>
            <w:r>
              <w:rPr>
                <w:rFonts w:ascii="Arial" w:eastAsia="MS Mincho" w:hAnsi="Arial"/>
                <w:bCs/>
                <w:szCs w:val="24"/>
                <w:highlight w:val="yellow"/>
                <w:lang w:val="en-US" w:eastAsia="ko-KR"/>
              </w:rPr>
              <w:t xml:space="preserve"> configured in paging message</w:t>
            </w:r>
            <w:r>
              <w:rPr>
                <w:rFonts w:ascii="Arial" w:eastAsia="MS Mincho" w:hAnsi="Arial"/>
                <w:bCs/>
                <w:szCs w:val="24"/>
                <w:lang w:val="en-US" w:eastAsia="ko-KR"/>
              </w:rPr>
              <w:t>.</w:t>
            </w:r>
          </w:p>
        </w:tc>
      </w:tr>
    </w:tbl>
    <w:p w14:paraId="2D67AC15" w14:textId="1369B3A6" w:rsidR="00E7595F" w:rsidRDefault="00336ECE">
      <w:pPr>
        <w:rPr>
          <w:rFonts w:eastAsia="Malgun Gothic"/>
          <w:lang w:eastAsia="de-DE"/>
        </w:rPr>
      </w:pPr>
      <w:r>
        <w:rPr>
          <w:rFonts w:eastAsia="等线"/>
          <w:lang w:eastAsia="zh-CN"/>
        </w:rPr>
        <w:t xml:space="preserve">There is no other information needed in </w:t>
      </w:r>
      <w:r>
        <w:rPr>
          <w:rFonts w:eastAsia="Malgun Gothic"/>
          <w:lang w:eastAsia="de-DE"/>
        </w:rPr>
        <w:t xml:space="preserve">the </w:t>
      </w:r>
      <w:r>
        <w:t>Access Trigger message</w:t>
      </w:r>
      <w:r>
        <w:rPr>
          <w:rFonts w:eastAsia="等线"/>
          <w:lang w:eastAsia="zh-CN"/>
        </w:rPr>
        <w:t>. So</w:t>
      </w:r>
      <w:r w:rsidR="0098159F">
        <w:rPr>
          <w:rFonts w:eastAsia="等线"/>
          <w:lang w:eastAsia="zh-CN"/>
        </w:rPr>
        <w:t>,</w:t>
      </w:r>
      <w:r>
        <w:rPr>
          <w:rFonts w:eastAsia="等线"/>
          <w:lang w:eastAsia="zh-CN"/>
        </w:rPr>
        <w:t xml:space="preserve"> it is just one trigger</w:t>
      </w:r>
      <w:r>
        <w:rPr>
          <w:rFonts w:eastAsia="Malgun Gothic"/>
          <w:lang w:eastAsia="de-DE"/>
        </w:rPr>
        <w:t xml:space="preserve">, which would be with short size (e.g. just 3-bit message type indication) </w:t>
      </w:r>
      <w:bookmarkEnd w:id="30"/>
      <w:r>
        <w:rPr>
          <w:rFonts w:eastAsia="Malgun Gothic"/>
          <w:lang w:eastAsia="de-DE"/>
        </w:rPr>
        <w:t xml:space="preserve">but also occurs very frequently. </w:t>
      </w:r>
      <w:proofErr w:type="gramStart"/>
      <w:r w:rsidR="0098159F">
        <w:rPr>
          <w:rFonts w:eastAsia="Malgun Gothic"/>
          <w:lang w:eastAsia="de-DE"/>
        </w:rPr>
        <w:t>Therefore</w:t>
      </w:r>
      <w:proofErr w:type="gramEnd"/>
      <w:r>
        <w:rPr>
          <w:rFonts w:eastAsia="Malgun Gothic"/>
          <w:lang w:eastAsia="de-DE"/>
        </w:rPr>
        <w:t xml:space="preserve"> it does not need to be byte-aligned, otherwise, padding/reserved bit </w:t>
      </w:r>
      <w:r w:rsidR="0098159F">
        <w:rPr>
          <w:rFonts w:eastAsia="Malgun Gothic"/>
          <w:lang w:eastAsia="de-DE"/>
        </w:rPr>
        <w:t>would be</w:t>
      </w:r>
      <w:r>
        <w:rPr>
          <w:rFonts w:eastAsia="Malgun Gothic"/>
          <w:lang w:eastAsia="de-DE"/>
        </w:rPr>
        <w:t xml:space="preserve"> required, which is just a waste of radio resource</w:t>
      </w:r>
      <w:r w:rsidR="0098159F">
        <w:rPr>
          <w:rFonts w:eastAsia="Malgun Gothic"/>
          <w:lang w:eastAsia="de-DE"/>
        </w:rPr>
        <w:t>s</w:t>
      </w:r>
      <w:r>
        <w:rPr>
          <w:rFonts w:eastAsia="Malgun Gothic"/>
          <w:lang w:eastAsia="de-DE"/>
        </w:rPr>
        <w:t>.</w:t>
      </w:r>
      <w:bookmarkStart w:id="31" w:name="OLE_LINK4"/>
      <w:r>
        <w:rPr>
          <w:rFonts w:eastAsia="Malgun Gothic"/>
          <w:lang w:eastAsia="de-DE"/>
        </w:rPr>
        <w:t xml:space="preserve"> </w:t>
      </w:r>
      <w:r>
        <w:rPr>
          <w:rFonts w:eastAsia="等线"/>
        </w:rPr>
        <w:t xml:space="preserve">For example, in order to trigger 1000 devices for inventory, almost 1000 </w:t>
      </w:r>
      <w:r>
        <w:t>Access Trigger message</w:t>
      </w:r>
      <w:r>
        <w:rPr>
          <w:rFonts w:eastAsia="等线"/>
          <w:lang w:eastAsia="zh-CN"/>
        </w:rPr>
        <w:t xml:space="preserve">s are needed when one time-domain resource is triggered by an </w:t>
      </w:r>
      <w:r>
        <w:t>Access Trigger message</w:t>
      </w:r>
      <w:r>
        <w:rPr>
          <w:rFonts w:eastAsia="等线"/>
          <w:lang w:eastAsia="zh-CN"/>
        </w:rPr>
        <w:t xml:space="preserve">. </w:t>
      </w:r>
      <w:r w:rsidR="0098159F">
        <w:rPr>
          <w:rFonts w:eastAsia="等线"/>
          <w:lang w:eastAsia="zh-CN"/>
        </w:rPr>
        <w:t>This</w:t>
      </w:r>
      <w:r>
        <w:rPr>
          <w:rFonts w:eastAsia="等线"/>
          <w:lang w:eastAsia="zh-CN"/>
        </w:rPr>
        <w:t xml:space="preserve"> </w:t>
      </w:r>
      <w:r w:rsidR="0098159F">
        <w:rPr>
          <w:rFonts w:eastAsia="等线"/>
          <w:lang w:eastAsia="zh-CN"/>
        </w:rPr>
        <w:t xml:space="preserve">would </w:t>
      </w:r>
      <w:r>
        <w:rPr>
          <w:rFonts w:eastAsia="等线"/>
          <w:lang w:eastAsia="zh-CN"/>
        </w:rPr>
        <w:t>require an additional 4000 bits,</w:t>
      </w:r>
      <w:r>
        <w:rPr>
          <w:rFonts w:eastAsia="等线"/>
        </w:rPr>
        <w:t xml:space="preserve"> if the length of this MAC message </w:t>
      </w:r>
      <w:r w:rsidR="0098159F">
        <w:rPr>
          <w:rFonts w:eastAsia="等线"/>
        </w:rPr>
        <w:t>wa</w:t>
      </w:r>
      <w:r>
        <w:rPr>
          <w:rFonts w:eastAsia="等线"/>
        </w:rPr>
        <w:t>s 8 bits</w:t>
      </w:r>
      <w:r w:rsidR="0098159F">
        <w:rPr>
          <w:rFonts w:eastAsia="等线"/>
        </w:rPr>
        <w:t>,</w:t>
      </w:r>
      <w:r>
        <w:rPr>
          <w:rFonts w:eastAsia="等线"/>
        </w:rPr>
        <w:t xml:space="preserve"> </w:t>
      </w:r>
      <w:r w:rsidR="0098159F">
        <w:rPr>
          <w:rFonts w:eastAsia="等线"/>
        </w:rPr>
        <w:t>to make it</w:t>
      </w:r>
      <w:r>
        <w:rPr>
          <w:rFonts w:eastAsia="等线"/>
        </w:rPr>
        <w:t xml:space="preserve"> byte aligned.</w:t>
      </w:r>
      <w:r>
        <w:t xml:space="preserve"> In RFID [1], such design (see Figure 2.3.1-1) has already been adopted and works efficiently.</w:t>
      </w:r>
    </w:p>
    <w:p w14:paraId="7D41719D" w14:textId="77777777" w:rsidR="00E7595F" w:rsidRDefault="00336ECE">
      <w:pPr>
        <w:keepLines/>
        <w:spacing w:before="0" w:after="240"/>
        <w:jc w:val="center"/>
        <w:rPr>
          <w:rFonts w:ascii="Arial" w:hAnsi="Arial"/>
          <w:b/>
        </w:rPr>
      </w:pPr>
      <w:r>
        <w:rPr>
          <w:rFonts w:ascii="Arial" w:hAnsi="Arial"/>
          <w:b/>
          <w:noProof/>
          <w:lang w:val="en-US" w:eastAsia="zh-CN"/>
        </w:rPr>
        <w:drawing>
          <wp:inline distT="0" distB="0" distL="114300" distR="114300" wp14:anchorId="27A92ADA" wp14:editId="1FDDA59E">
            <wp:extent cx="2428875" cy="1132840"/>
            <wp:effectExtent l="0" t="0" r="9525" b="1016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stretch>
                      <a:fillRect/>
                    </a:stretch>
                  </pic:blipFill>
                  <pic:spPr>
                    <a:xfrm>
                      <a:off x="0" y="0"/>
                      <a:ext cx="2428875" cy="1132840"/>
                    </a:xfrm>
                    <a:prstGeom prst="rect">
                      <a:avLst/>
                    </a:prstGeom>
                  </pic:spPr>
                </pic:pic>
              </a:graphicData>
            </a:graphic>
          </wp:inline>
        </w:drawing>
      </w:r>
    </w:p>
    <w:p w14:paraId="52B07D45" w14:textId="77777777" w:rsidR="00E7595F" w:rsidRDefault="00336ECE">
      <w:pPr>
        <w:keepNext/>
        <w:keepLines/>
        <w:spacing w:before="60"/>
        <w:jc w:val="center"/>
        <w:rPr>
          <w:rFonts w:ascii="Arial" w:hAnsi="Arial"/>
          <w:b/>
        </w:rPr>
      </w:pPr>
      <w:r>
        <w:rPr>
          <w:rFonts w:ascii="Arial" w:hAnsi="Arial"/>
          <w:b/>
        </w:rPr>
        <w:t>Figure 2.3.1-1</w:t>
      </w:r>
      <w:r>
        <w:rPr>
          <w:rFonts w:ascii="Arial" w:hAnsi="Arial"/>
          <w:b/>
        </w:rPr>
        <w:tab/>
        <w:t xml:space="preserve">QueryRep command in RFID </w:t>
      </w:r>
    </w:p>
    <w:bookmarkEnd w:id="31"/>
    <w:p w14:paraId="57C2B195" w14:textId="284AD4A9" w:rsidR="00E7595F" w:rsidRDefault="00336ECE">
      <w:pPr>
        <w:pStyle w:val="Proposal-HW"/>
      </w:pPr>
      <w:r>
        <w:t xml:space="preserve">Proposal </w:t>
      </w:r>
      <w:r w:rsidR="00F0268E">
        <w:t>5b</w:t>
      </w:r>
      <w:r>
        <w:t xml:space="preserve">: </w:t>
      </w:r>
      <w:r>
        <w:tab/>
      </w:r>
      <w:r w:rsidR="00C62CCB">
        <w:t xml:space="preserve">(Issue 2-3) </w:t>
      </w:r>
      <w:r>
        <w:t xml:space="preserve">RAN2 confirms the Access Trigger message is not </w:t>
      </w:r>
      <w:r w:rsidR="003672CB">
        <w:t xml:space="preserve">to </w:t>
      </w:r>
      <w:r>
        <w:t xml:space="preserve">be byte-aligned, while other R2D messages are byte-aligned. </w:t>
      </w:r>
      <w:r w:rsidR="004C0885">
        <w:t>(Already covered by post-email summary)</w:t>
      </w:r>
    </w:p>
    <w:p w14:paraId="63238216" w14:textId="77777777" w:rsidR="00E7595F" w:rsidRDefault="00336ECE">
      <w:pPr>
        <w:jc w:val="both"/>
      </w:pPr>
      <w:r>
        <w:t>The non-byte-aligned fields result in non-byte-aligned MAC PDU. The R2D messages with variable size include:</w:t>
      </w:r>
    </w:p>
    <w:p w14:paraId="6442617A" w14:textId="41FBA186" w:rsidR="00E7595F" w:rsidRDefault="00336ECE">
      <w:pPr>
        <w:pStyle w:val="ListParagraph"/>
        <w:numPr>
          <w:ilvl w:val="0"/>
          <w:numId w:val="10"/>
        </w:numPr>
        <w:ind w:firstLineChars="0"/>
        <w:jc w:val="both"/>
      </w:pPr>
      <w:r>
        <w:lastRenderedPageBreak/>
        <w:t xml:space="preserve">A-IoT Paging: In an A-IoT Paging message, the size of filtering information varies in the unit of bit. </w:t>
      </w:r>
      <w:proofErr w:type="gramStart"/>
      <w:r>
        <w:t>So</w:t>
      </w:r>
      <w:proofErr w:type="gramEnd"/>
      <w:r>
        <w:t xml:space="preserve"> the Paging ID field may cause a non-byte-aligned MAC PDU. One “fill field” can be put in the end to make </w:t>
      </w:r>
      <w:r w:rsidR="003672CB">
        <w:t xml:space="preserve">the </w:t>
      </w:r>
      <w:r>
        <w:t xml:space="preserve">message byte-aligned, as shown in Figure 2.3-1. The number of bits of “fill field” can be </w:t>
      </w:r>
      <w:r w:rsidR="00E56F1E">
        <w:t>1</w:t>
      </w:r>
      <w:r>
        <w:t xml:space="preserve">~7 bits. </w:t>
      </w:r>
    </w:p>
    <w:p w14:paraId="61A27D34" w14:textId="77777777" w:rsidR="00E7595F" w:rsidRDefault="00336ECE">
      <w:pPr>
        <w:pStyle w:val="ListParagraph"/>
        <w:numPr>
          <w:ilvl w:val="0"/>
          <w:numId w:val="10"/>
        </w:numPr>
        <w:ind w:firstLineChars="0"/>
        <w:jc w:val="both"/>
      </w:pPr>
      <w:r>
        <w:t>Msg2: Although the length of Random ID and AS ID is fixed as 16 bits, the size of the indication for whether AS ID is present is 1 bit per Random ID. This 1-bit indication may cause a non-byte-aligned Msg2 MAC PDU. Similar to the above A-IoT Paging, “fill field” can be put in the end to make Msg2 MAC PDU byte-aligned, as shown in Figure 2.3-1.</w:t>
      </w:r>
    </w:p>
    <w:p w14:paraId="31AA25B5" w14:textId="77777777" w:rsidR="00E7595F" w:rsidRDefault="00336ECE">
      <w:pPr>
        <w:pStyle w:val="TH"/>
      </w:pPr>
      <w:r>
        <w:rPr>
          <w:noProof/>
          <w:lang w:val="en-US" w:eastAsia="zh-CN"/>
        </w:rPr>
        <w:drawing>
          <wp:inline distT="0" distB="0" distL="0" distR="0" wp14:anchorId="15276FA0" wp14:editId="24F1FCB5">
            <wp:extent cx="1965325" cy="94424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81919" cy="952460"/>
                    </a:xfrm>
                    <a:prstGeom prst="rect">
                      <a:avLst/>
                    </a:prstGeom>
                  </pic:spPr>
                </pic:pic>
              </a:graphicData>
            </a:graphic>
          </wp:inline>
        </w:drawing>
      </w:r>
    </w:p>
    <w:p w14:paraId="67756738" w14:textId="77777777" w:rsidR="00E7595F" w:rsidRDefault="00336ECE">
      <w:pPr>
        <w:pStyle w:val="TH"/>
      </w:pPr>
      <w:r>
        <w:t>Figure 2.3-1</w:t>
      </w:r>
      <w:r>
        <w:tab/>
        <w:t>Examples of byte-aligned A-IoT Paging and Msg2 MAC PDU (the number of bits of fill field is just an example)</w:t>
      </w:r>
    </w:p>
    <w:p w14:paraId="1E05C0B6" w14:textId="77777777" w:rsidR="00E7595F" w:rsidRDefault="00336ECE">
      <w:pPr>
        <w:pStyle w:val="ListParagraph"/>
        <w:numPr>
          <w:ilvl w:val="0"/>
          <w:numId w:val="10"/>
        </w:numPr>
        <w:ind w:firstLineChars="0"/>
        <w:jc w:val="both"/>
      </w:pPr>
      <w:r>
        <w:t>NACK Feedback: The NACK Feedback message contains the fields of message type and one or multiple AS ID(s). Based on the R2D message types agreed in previous RAN2 meetings, the number of R2D message type is 5, so 3 bits are sufficient for the field of the R2D message type. The length of AS ID is 16 bits, so the set of AS ID can be byte-aligned. Hence, to make NACK Feedback MAC PDU byte-aligned, just 5 bits R field is needed in the first byte, as shown in Figure 2.3-2.</w:t>
      </w:r>
    </w:p>
    <w:p w14:paraId="5DBED923" w14:textId="77777777" w:rsidR="00E7595F" w:rsidRDefault="00336ECE">
      <w:pPr>
        <w:pStyle w:val="TH"/>
      </w:pPr>
      <w:r>
        <w:rPr>
          <w:noProof/>
          <w:lang w:val="en-US" w:eastAsia="zh-CN"/>
        </w:rPr>
        <w:drawing>
          <wp:inline distT="0" distB="0" distL="0" distR="0" wp14:anchorId="72786C57" wp14:editId="10E1357A">
            <wp:extent cx="1790065" cy="13652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794689" cy="1368753"/>
                    </a:xfrm>
                    <a:prstGeom prst="rect">
                      <a:avLst/>
                    </a:prstGeom>
                  </pic:spPr>
                </pic:pic>
              </a:graphicData>
            </a:graphic>
          </wp:inline>
        </w:drawing>
      </w:r>
    </w:p>
    <w:p w14:paraId="7D9CF771" w14:textId="77777777" w:rsidR="00E7595F" w:rsidRDefault="00336ECE">
      <w:pPr>
        <w:pStyle w:val="TH"/>
      </w:pPr>
      <w:r>
        <w:t>Figure 2.3-2</w:t>
      </w:r>
      <w:r>
        <w:tab/>
        <w:t>Example of byte-aligned NACK Feedback MAC PDU</w:t>
      </w:r>
    </w:p>
    <w:p w14:paraId="0B3DE9E2" w14:textId="6D7077CE" w:rsidR="00E7595F" w:rsidRDefault="00336ECE">
      <w:pPr>
        <w:pStyle w:val="ListParagraph"/>
        <w:numPr>
          <w:ilvl w:val="0"/>
          <w:numId w:val="10"/>
        </w:numPr>
        <w:ind w:firstLineChars="0"/>
        <w:jc w:val="both"/>
      </w:pPr>
      <w:r>
        <w:t>The R2D upper layer data message contains the fields of Data SDU (variable size) or Received Data size (7 bits), Message type (3 bits), AS ID (16 bits), and L1 parameters (size to be concluded). Besides, whether Data SDU or Received Data size is included should be indicated, e.g., 1-bit choice indication (CI). Assuming the length of the fields except for Data SDU is not aligned, as shown in Figure 2.3-3. "R" field can be put in front of "Data SDU" or "Received Data size" to make the part from "Oct 1" to "Oct M+1" byte-aligned. The "Content" includes "AS ID" and "L1 parameters". Then, the byte-aligned “Data SDU” or "Received Data Size + 1-bit R" is put at the end of the MAC PDU. By this design, the fields with determined number of bits from "Oct 1" to "Oct M+1" can be determined first, and the re</w:t>
      </w:r>
      <w:r w:rsidR="003672CB">
        <w:t>maining</w:t>
      </w:r>
      <w:r>
        <w:t xml:space="preserve"> part is "Data SDU" or "Received Data Size + 1-bit R". There </w:t>
      </w:r>
      <w:r w:rsidR="003672CB">
        <w:t xml:space="preserve">is </w:t>
      </w:r>
      <w:r>
        <w:t>no need to indicate the length of the SDU field.</w:t>
      </w:r>
    </w:p>
    <w:p w14:paraId="45EF4985" w14:textId="77777777" w:rsidR="00E7595F" w:rsidRDefault="00336ECE">
      <w:pPr>
        <w:pStyle w:val="TH"/>
      </w:pPr>
      <w:r>
        <w:rPr>
          <w:noProof/>
          <w:lang w:val="en-US" w:eastAsia="zh-CN"/>
        </w:rPr>
        <w:lastRenderedPageBreak/>
        <w:drawing>
          <wp:inline distT="0" distB="0" distL="0" distR="0" wp14:anchorId="2ACD4424" wp14:editId="1FBBE31C">
            <wp:extent cx="4460875" cy="20180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65985" cy="2020139"/>
                    </a:xfrm>
                    <a:prstGeom prst="rect">
                      <a:avLst/>
                    </a:prstGeom>
                  </pic:spPr>
                </pic:pic>
              </a:graphicData>
            </a:graphic>
          </wp:inline>
        </w:drawing>
      </w:r>
    </w:p>
    <w:p w14:paraId="07E45E3E" w14:textId="77777777" w:rsidR="00E7595F" w:rsidRDefault="00336ECE">
      <w:pPr>
        <w:pStyle w:val="TH"/>
      </w:pPr>
      <w:r>
        <w:t>Figure 2.3-3</w:t>
      </w:r>
      <w:r>
        <w:tab/>
        <w:t>Example of byte-aligned R2D upper layer data MAC PDU (the number of bits of R is just an example)</w:t>
      </w:r>
    </w:p>
    <w:p w14:paraId="5F002BB7" w14:textId="269A3569" w:rsidR="00E7595F" w:rsidRDefault="00336ECE">
      <w:pPr>
        <w:pStyle w:val="Proposal-HW"/>
      </w:pPr>
      <w:r>
        <w:t>Proposal 6:</w:t>
      </w:r>
      <w:r>
        <w:tab/>
      </w:r>
      <w:r w:rsidR="00373291">
        <w:t>To ensure byte alignment f</w:t>
      </w:r>
      <w:r>
        <w:t>or the variable size R2D message:</w:t>
      </w:r>
    </w:p>
    <w:p w14:paraId="2499F85A" w14:textId="3A886E31" w:rsidR="00E7595F" w:rsidRDefault="00336ECE">
      <w:pPr>
        <w:pStyle w:val="Sub-bulletofproposal"/>
      </w:pPr>
      <w:r>
        <w:t>Paging and Msg2</w:t>
      </w:r>
      <w:r w:rsidR="004C61FC">
        <w:t xml:space="preserve"> (</w:t>
      </w:r>
      <w:r w:rsidR="004C61FC" w:rsidRPr="004C61FC">
        <w:t>Variable bit length</w:t>
      </w:r>
      <w:r w:rsidR="004C61FC">
        <w:t>)</w:t>
      </w:r>
      <w:r>
        <w:t xml:space="preserve">: </w:t>
      </w:r>
      <w:r w:rsidR="00A56307">
        <w:t>add</w:t>
      </w:r>
      <w:r>
        <w:t xml:space="preserve"> one “fill field” in the end </w:t>
      </w:r>
      <w:r w:rsidR="00A56307">
        <w:t>of the message</w:t>
      </w:r>
      <w:r>
        <w:t xml:space="preserve"> (</w:t>
      </w:r>
      <w:r w:rsidR="00320EA8">
        <w:t>1</w:t>
      </w:r>
      <w:r>
        <w:t>~7bits).</w:t>
      </w:r>
    </w:p>
    <w:p w14:paraId="41D96B9D" w14:textId="47CD133E" w:rsidR="00E7595F" w:rsidRDefault="00336ECE">
      <w:pPr>
        <w:pStyle w:val="Sub-bulletofproposal"/>
      </w:pPr>
      <w:r>
        <w:t>NACK feedback</w:t>
      </w:r>
      <w:r w:rsidR="00A56307">
        <w:t xml:space="preserve"> (AS ID entry(</w:t>
      </w:r>
      <w:proofErr w:type="spellStart"/>
      <w:r w:rsidR="00A56307">
        <w:t>ies</w:t>
      </w:r>
      <w:proofErr w:type="spellEnd"/>
      <w:r w:rsidR="00A56307">
        <w:t>) self-aligns, message type is 3-bit fixed)</w:t>
      </w:r>
      <w:r>
        <w:t xml:space="preserve">: </w:t>
      </w:r>
      <w:r w:rsidR="00A56307">
        <w:t>add</w:t>
      </w:r>
      <w:r>
        <w:t xml:space="preserve"> 5 R-bit </w:t>
      </w:r>
      <w:r w:rsidR="00A56307">
        <w:t>after message type field</w:t>
      </w:r>
      <w:r>
        <w:t>.</w:t>
      </w:r>
    </w:p>
    <w:p w14:paraId="4D02347C" w14:textId="54621361" w:rsidR="00E7595F" w:rsidRDefault="00336ECE" w:rsidP="009572D9">
      <w:pPr>
        <w:pStyle w:val="Sub-bulletofproposal"/>
      </w:pPr>
      <w:r>
        <w:t>R2D upper layer data message</w:t>
      </w:r>
      <w:r w:rsidR="00A56307">
        <w:t xml:space="preserve"> (data SDU self-aligns, other fields are of fixed bits)</w:t>
      </w:r>
      <w:r>
        <w:t xml:space="preserve">: </w:t>
      </w:r>
      <w:r w:rsidR="00A56307">
        <w:t>add</w:t>
      </w:r>
      <w:r w:rsidR="004C61FC">
        <w:t xml:space="preserve"> R bits</w:t>
      </w:r>
      <w:r w:rsidR="00A56307">
        <w:t xml:space="preserve"> after CI field to differentiate R-bit number when data SDU or received data size is present.</w:t>
      </w:r>
      <w:r>
        <w:t xml:space="preserve"> </w:t>
      </w:r>
      <w:r w:rsidR="007E51BF">
        <w:t xml:space="preserve">Confirm </w:t>
      </w:r>
      <w:r w:rsidR="00AC5305">
        <w:t xml:space="preserve">MAC </w:t>
      </w:r>
      <w:r w:rsidR="007E51BF">
        <w:t>padding</w:t>
      </w:r>
      <w:r w:rsidR="00AC5305">
        <w:t xml:space="preserve"> field</w:t>
      </w:r>
      <w:r w:rsidR="007E51BF">
        <w:t xml:space="preserve"> and</w:t>
      </w:r>
      <w:r>
        <w:t xml:space="preserve"> SDU length field</w:t>
      </w:r>
      <w:r w:rsidR="007E51BF">
        <w:t xml:space="preserve"> are not needed</w:t>
      </w:r>
      <w:r>
        <w:t>.</w:t>
      </w:r>
    </w:p>
    <w:p w14:paraId="68A459B4" w14:textId="72E10B43" w:rsidR="00E7595F" w:rsidRDefault="00336ECE">
      <w:pPr>
        <w:pStyle w:val="Heading2"/>
        <w:rPr>
          <w:rFonts w:eastAsia="宋体"/>
          <w:lang w:eastAsia="zh-CN"/>
        </w:rPr>
      </w:pPr>
      <w:r>
        <w:rPr>
          <w:rFonts w:eastAsia="宋体"/>
          <w:lang w:eastAsia="zh-CN"/>
        </w:rPr>
        <w:t>2.4</w:t>
      </w:r>
      <w:r>
        <w:rPr>
          <w:rFonts w:eastAsia="宋体"/>
          <w:lang w:eastAsia="zh-CN"/>
        </w:rPr>
        <w:tab/>
        <w:t>Future extension</w:t>
      </w:r>
    </w:p>
    <w:p w14:paraId="0412345F" w14:textId="518E497A" w:rsidR="00E7595F" w:rsidRDefault="00336ECE">
      <w:pPr>
        <w:pStyle w:val="Heading3"/>
      </w:pPr>
      <w:r>
        <w:t>2.</w:t>
      </w:r>
      <w:r w:rsidR="00366ABE">
        <w:t>4</w:t>
      </w:r>
      <w:r>
        <w:t>.1</w:t>
      </w:r>
      <w:r>
        <w:tab/>
        <w:t xml:space="preserve">Forward compatibility </w:t>
      </w:r>
    </w:p>
    <w:p w14:paraId="496FDC28" w14:textId="77777777" w:rsidR="00E7595F" w:rsidRDefault="00336ECE">
      <w:pPr>
        <w:jc w:val="both"/>
      </w:pPr>
      <w:r>
        <w:t>The issue of coexistence between Device 1 and Device 2b/C was concluded in the RAN#108 meeting:</w:t>
      </w:r>
    </w:p>
    <w:tbl>
      <w:tblPr>
        <w:tblStyle w:val="TableGrid"/>
        <w:tblW w:w="0" w:type="auto"/>
        <w:tblLook w:val="04A0" w:firstRow="1" w:lastRow="0" w:firstColumn="1" w:lastColumn="0" w:noHBand="0" w:noVBand="1"/>
      </w:tblPr>
      <w:tblGrid>
        <w:gridCol w:w="9631"/>
      </w:tblGrid>
      <w:tr w:rsidR="00E7595F" w14:paraId="1FFF2DA5" w14:textId="77777777">
        <w:tc>
          <w:tcPr>
            <w:tcW w:w="9631" w:type="dxa"/>
          </w:tcPr>
          <w:p w14:paraId="635DB47C" w14:textId="77777777" w:rsidR="00E7595F" w:rsidRDefault="00336ECE">
            <w:pPr>
              <w:spacing w:after="80"/>
              <w:rPr>
                <w:b/>
                <w:lang w:val="en-US" w:eastAsia="zh-CN"/>
              </w:rPr>
            </w:pPr>
            <w:r>
              <w:rPr>
                <w:b/>
                <w:lang w:val="en-US" w:eastAsia="zh-CN"/>
              </w:rPr>
              <w:t>RP-251885 (Rel-20 WID)</w:t>
            </w:r>
          </w:p>
          <w:p w14:paraId="1CE1DD9A" w14:textId="77777777" w:rsidR="00E7595F" w:rsidRDefault="00336ECE">
            <w:pPr>
              <w:spacing w:after="80"/>
              <w:rPr>
                <w:bCs/>
                <w:lang w:val="en-US" w:eastAsia="zh-CN"/>
              </w:rPr>
            </w:pPr>
            <w:r>
              <w:rPr>
                <w:lang w:val="en-US" w:eastAsia="zh-CN"/>
              </w:rPr>
              <w:t xml:space="preserve">Note: </w:t>
            </w:r>
            <w:r>
              <w:rPr>
                <w:highlight w:val="yellow"/>
                <w:lang w:val="en-US" w:eastAsia="zh-CN"/>
              </w:rPr>
              <w:t>Coexistence</w:t>
            </w:r>
            <w:r>
              <w:rPr>
                <w:lang w:val="en-US" w:eastAsia="zh-CN"/>
              </w:rPr>
              <w:t xml:space="preserve"> between Device 1 and Device 2b/C is </w:t>
            </w:r>
            <w:r>
              <w:rPr>
                <w:highlight w:val="yellow"/>
                <w:lang w:val="en-US" w:eastAsia="zh-CN"/>
              </w:rPr>
              <w:t>not considered</w:t>
            </w:r>
            <w:r>
              <w:rPr>
                <w:lang w:val="en-US" w:eastAsia="zh-CN"/>
              </w:rPr>
              <w:t xml:space="preserve"> in the same deployment in the same band.</w:t>
            </w:r>
          </w:p>
        </w:tc>
      </w:tr>
    </w:tbl>
    <w:p w14:paraId="1B86DE79" w14:textId="21F62B74" w:rsidR="00E7595F" w:rsidRDefault="00336ECE">
      <w:pPr>
        <w:pStyle w:val="Observation-HW"/>
      </w:pPr>
      <w:r>
        <w:t xml:space="preserve">Observation 5: Based on R20 WID, device 1 and active devices will not </w:t>
      </w:r>
      <w:r w:rsidR="00DD643A">
        <w:t>“</w:t>
      </w:r>
      <w:r>
        <w:t>co-exist</w:t>
      </w:r>
      <w:r w:rsidR="00DD643A">
        <w:t>”</w:t>
      </w:r>
      <w:r>
        <w:t xml:space="preserve"> </w:t>
      </w:r>
      <w:r w:rsidR="00DD643A">
        <w:t>under</w:t>
      </w:r>
      <w:r>
        <w:t xml:space="preserve"> same reader.</w:t>
      </w:r>
    </w:p>
    <w:p w14:paraId="20117F08" w14:textId="7BEDCC5E" w:rsidR="00E7595F" w:rsidRDefault="00336ECE">
      <w:pPr>
        <w:jc w:val="both"/>
      </w:pPr>
      <w:r>
        <w:t xml:space="preserve">Based on the agreements in the previous RAN2 meetings, paging for multiple devices and parallel service request for overlapping reader scenario were considered as forward compatibility </w:t>
      </w:r>
      <w:r w:rsidR="00DD643A">
        <w:t>issues for</w:t>
      </w:r>
      <w:r>
        <w:t xml:space="preserve"> Rel-20. </w:t>
      </w:r>
    </w:p>
    <w:tbl>
      <w:tblPr>
        <w:tblStyle w:val="TableGrid"/>
        <w:tblW w:w="0" w:type="auto"/>
        <w:tblLook w:val="04A0" w:firstRow="1" w:lastRow="0" w:firstColumn="1" w:lastColumn="0" w:noHBand="0" w:noVBand="1"/>
      </w:tblPr>
      <w:tblGrid>
        <w:gridCol w:w="9631"/>
      </w:tblGrid>
      <w:tr w:rsidR="00E7595F" w14:paraId="0BCF4A47" w14:textId="77777777">
        <w:tc>
          <w:tcPr>
            <w:tcW w:w="9631" w:type="dxa"/>
          </w:tcPr>
          <w:p w14:paraId="5A431CCA" w14:textId="77777777" w:rsidR="00E7595F" w:rsidRDefault="00336ECE">
            <w:pPr>
              <w:jc w:val="both"/>
              <w:rPr>
                <w:b/>
                <w:lang w:eastAsia="zh-CN"/>
              </w:rPr>
            </w:pPr>
            <w:r>
              <w:rPr>
                <w:b/>
                <w:lang w:eastAsia="zh-CN"/>
              </w:rPr>
              <w:t>RAN2#130 agreements on paging</w:t>
            </w:r>
          </w:p>
          <w:p w14:paraId="5BB444C7" w14:textId="77777777" w:rsidR="00E7595F" w:rsidRDefault="00336ECE">
            <w:pPr>
              <w:jc w:val="both"/>
              <w:rPr>
                <w:lang w:eastAsia="zh-CN"/>
              </w:rPr>
            </w:pPr>
            <w:r>
              <w:rPr>
                <w:lang w:eastAsia="zh-CN"/>
              </w:rPr>
              <w:t xml:space="preserve">To ensure </w:t>
            </w:r>
            <w:r>
              <w:rPr>
                <w:highlight w:val="yellow"/>
                <w:lang w:eastAsia="zh-CN"/>
              </w:rPr>
              <w:t>forward compatibility for paging with multiple identifiers</w:t>
            </w:r>
            <w:r>
              <w:rPr>
                <w:lang w:eastAsia="zh-CN"/>
              </w:rPr>
              <w:t xml:space="preserve">, introduce at least one R field.   FFS if more than one R bit is required.   </w:t>
            </w:r>
          </w:p>
          <w:p w14:paraId="2DBF6681" w14:textId="77777777" w:rsidR="00E7595F" w:rsidRDefault="00336ECE">
            <w:pPr>
              <w:jc w:val="both"/>
              <w:rPr>
                <w:lang w:eastAsia="zh-CN"/>
              </w:rPr>
            </w:pPr>
            <w:r>
              <w:rPr>
                <w:lang w:eastAsia="zh-CN"/>
              </w:rPr>
              <w:t xml:space="preserve">Rel-19 devices would ignore the content of future release instead of ignoring the whole paging message.  </w:t>
            </w:r>
          </w:p>
          <w:p w14:paraId="22CC1F08" w14:textId="77777777" w:rsidR="00E7595F" w:rsidRDefault="00336ECE">
            <w:pPr>
              <w:jc w:val="both"/>
              <w:rPr>
                <w:lang w:eastAsia="zh-CN"/>
              </w:rPr>
            </w:pPr>
            <w:r>
              <w:rPr>
                <w:highlight w:val="yellow"/>
                <w:lang w:eastAsia="zh-CN"/>
              </w:rPr>
              <w:t>Parallel service request for overlapping reader scenario can be addressed in Rel-20</w:t>
            </w:r>
          </w:p>
        </w:tc>
      </w:tr>
    </w:tbl>
    <w:p w14:paraId="2A614D80" w14:textId="6DC06B11" w:rsidR="00E7595F" w:rsidRDefault="00336ECE">
      <w:pPr>
        <w:jc w:val="both"/>
      </w:pPr>
      <w:r>
        <w:t xml:space="preserve">These two features will only </w:t>
      </w:r>
      <w:r w:rsidR="00DD643A">
        <w:t xml:space="preserve">have </w:t>
      </w:r>
      <w:r>
        <w:t>impact on A-IoT Paging and Access Trigger messages:</w:t>
      </w:r>
    </w:p>
    <w:p w14:paraId="71E6FAD1" w14:textId="77777777" w:rsidR="00E7595F" w:rsidRDefault="00336ECE">
      <w:pPr>
        <w:pStyle w:val="ListParagraph"/>
        <w:numPr>
          <w:ilvl w:val="0"/>
          <w:numId w:val="13"/>
        </w:numPr>
        <w:ind w:firstLineChars="0"/>
        <w:jc w:val="both"/>
      </w:pPr>
      <w:r>
        <w:t>Multiple device IDs are included in Rel-20 A-IoT Paging;</w:t>
      </w:r>
    </w:p>
    <w:p w14:paraId="45312387" w14:textId="6CC61A12" w:rsidR="00E7595F" w:rsidRDefault="00336ECE">
      <w:pPr>
        <w:pStyle w:val="ListParagraph"/>
        <w:numPr>
          <w:ilvl w:val="0"/>
          <w:numId w:val="13"/>
        </w:numPr>
        <w:ind w:firstLineChars="0"/>
        <w:jc w:val="both"/>
      </w:pPr>
      <w:r>
        <w:t>R</w:t>
      </w:r>
      <w:r w:rsidR="00DD643A">
        <w:t>e</w:t>
      </w:r>
      <w:r>
        <w:t xml:space="preserve">ader ID or transaction ID (to distinguish different readers) may be included in Rel-20 A-IoT Paging or Access Trigger message. The device may need this information to distinguish </w:t>
      </w:r>
      <w:r w:rsidR="00DD643A">
        <w:t xml:space="preserve">from which reader </w:t>
      </w:r>
      <w:r>
        <w:t xml:space="preserve">the service is and decide whether to respond </w:t>
      </w:r>
      <w:r w:rsidR="00DD643A">
        <w:t xml:space="preserve">to </w:t>
      </w:r>
      <w:r>
        <w:t>the received R2D message.</w:t>
      </w:r>
    </w:p>
    <w:p w14:paraId="092CD8C6" w14:textId="33555459" w:rsidR="00E7595F" w:rsidRDefault="00336ECE">
      <w:pPr>
        <w:pStyle w:val="Observation-HW"/>
      </w:pPr>
      <w:r>
        <w:t xml:space="preserve">Observation </w:t>
      </w:r>
      <w:r w:rsidR="00AB7813">
        <w:t>7</w:t>
      </w:r>
      <w:r>
        <w:t>:</w:t>
      </w:r>
      <w:r>
        <w:tab/>
        <w:t xml:space="preserve">If there is any device-1 Rel-20 enhancement, it may only impact A-IoT Paging and Access Trigger messages: </w:t>
      </w:r>
    </w:p>
    <w:p w14:paraId="1884D888" w14:textId="77777777" w:rsidR="00E7595F" w:rsidRDefault="00336ECE" w:rsidP="00AB7813">
      <w:pPr>
        <w:pStyle w:val="Sub-bulletofproposal"/>
        <w:numPr>
          <w:ilvl w:val="2"/>
          <w:numId w:val="7"/>
        </w:numPr>
        <w:ind w:leftChars="0" w:firstLineChars="0"/>
      </w:pPr>
      <w:r>
        <w:lastRenderedPageBreak/>
        <w:t>A-IoT Paging with multiple device IDs;</w:t>
      </w:r>
    </w:p>
    <w:p w14:paraId="3B73A084" w14:textId="77777777" w:rsidR="00E7595F" w:rsidRDefault="00336ECE" w:rsidP="00AB7813">
      <w:pPr>
        <w:pStyle w:val="Sub-bulletofproposal"/>
        <w:numPr>
          <w:ilvl w:val="2"/>
          <w:numId w:val="7"/>
        </w:numPr>
        <w:ind w:leftChars="0" w:firstLineChars="0"/>
      </w:pPr>
      <w:r>
        <w:t>Multiple readers’ scenario for indoor with Reader ID/transaction ID in A-IoT Paging/Access Trigger message.</w:t>
      </w:r>
    </w:p>
    <w:p w14:paraId="5DE1A9E3" w14:textId="77777777" w:rsidR="00E7595F" w:rsidRDefault="00336ECE">
      <w:r>
        <w:t>The multiple Paging IDs can be provided at the end of the MAC PDU, and the Rel-19 device will ignore the unknown content (i.e., additional Paging ID(s)) if receiving Rel-20 A-IoT Paging.</w:t>
      </w:r>
    </w:p>
    <w:p w14:paraId="353F63AD" w14:textId="77777777" w:rsidR="00E7595F" w:rsidRDefault="00336ECE">
      <w:r>
        <w:t xml:space="preserve">If such forward compatibility (put Rel-20 additional content at the end of MAC PDU) is considered in the R2D upper layer data transfer message, the Data SDU and Rel-20 fields cannot be distinguished since the lengths of them are both unknown. To distinguish Data SDU field and the Rel-20 unknown field, “SDU length” may be needed. </w:t>
      </w:r>
    </w:p>
    <w:p w14:paraId="5BDFA123" w14:textId="77777777" w:rsidR="00E7595F" w:rsidRDefault="00336ECE">
      <w:r>
        <w:t>If such forward compatibility is considered in NACK Feedback, AS ID and Rel-20 fields cannot be distinguished since the number of AS ID(s) and the length of the Rel-20 field are both unknown. To distinguish part of AS ID(s) and the Rel-20 unknown field, “number of AS ID” may be needed in NACK Feedback.</w:t>
      </w:r>
    </w:p>
    <w:p w14:paraId="108026A2" w14:textId="4FB40DEA" w:rsidR="00E7595F" w:rsidRDefault="00336ECE">
      <w:pPr>
        <w:pStyle w:val="Observation-HW"/>
      </w:pPr>
      <w:r>
        <w:t xml:space="preserve">Observation </w:t>
      </w:r>
      <w:r w:rsidR="00AB7813">
        <w:t>8</w:t>
      </w:r>
      <w:r>
        <w:t>:</w:t>
      </w:r>
      <w:r>
        <w:tab/>
      </w:r>
      <w:r w:rsidR="00DD643A">
        <w:t>RAN2 o</w:t>
      </w:r>
      <w:r>
        <w:t>nly need to consider paging and Access Trigger message</w:t>
      </w:r>
      <w:r w:rsidR="00DD643A">
        <w:t>s</w:t>
      </w:r>
      <w:r>
        <w:t>, rather than other R2D message</w:t>
      </w:r>
      <w:r w:rsidR="00DD643A">
        <w:t>s,</w:t>
      </w:r>
      <w:r>
        <w:t xml:space="preserve"> in forward compatib</w:t>
      </w:r>
      <w:r w:rsidR="00DD643A">
        <w:t>ility</w:t>
      </w:r>
      <w:r>
        <w:t xml:space="preserve"> consideration</w:t>
      </w:r>
      <w:r w:rsidR="00DD643A">
        <w:t>s</w:t>
      </w:r>
      <w:r>
        <w:t>. Otherwise “SDU length” in R2D upper layer command and “number of AS ID” in NACK feedback may be needed.</w:t>
      </w:r>
    </w:p>
    <w:p w14:paraId="1F56CDE0" w14:textId="77777777" w:rsidR="00E7595F" w:rsidRPr="00B6196D" w:rsidRDefault="00336ECE" w:rsidP="00B6196D">
      <w:r>
        <w:t xml:space="preserve">As analysed in Section 2.3, </w:t>
      </w:r>
      <w:r w:rsidRPr="00B6196D">
        <w:rPr>
          <w:lang w:eastAsia="zh-CN"/>
        </w:rPr>
        <w:t xml:space="preserve">there is no other information except for message type needed in </w:t>
      </w:r>
      <w:r w:rsidRPr="00B6196D">
        <w:rPr>
          <w:lang w:eastAsia="de-DE"/>
        </w:rPr>
        <w:t xml:space="preserve">the </w:t>
      </w:r>
      <w:r>
        <w:t>Access Trigger message</w:t>
      </w:r>
      <w:r w:rsidRPr="00B6196D">
        <w:rPr>
          <w:lang w:eastAsia="zh-CN"/>
        </w:rPr>
        <w:t>, and it is just one trigger. If there is any po</w:t>
      </w:r>
      <w:r>
        <w:t xml:space="preserve">ssible field for the Access Trigger message in the future release, it can be directly added at the end of MAC PDU. Rel-19 device can ignore the unknown content. </w:t>
      </w:r>
    </w:p>
    <w:p w14:paraId="6024C69E" w14:textId="3DAF4961" w:rsidR="00E7595F" w:rsidRDefault="00336ECE">
      <w:pPr>
        <w:pStyle w:val="Proposal-HW"/>
      </w:pPr>
      <w:r>
        <w:t>Proposal 7:</w:t>
      </w:r>
      <w:r>
        <w:tab/>
      </w:r>
      <w:r w:rsidR="00FA6332">
        <w:t xml:space="preserve">(Issue 4-5) </w:t>
      </w:r>
      <w:r>
        <w:t>Adopt the same handling for paging and Access Trigger message, i.e., R</w:t>
      </w:r>
      <w:r w:rsidR="004F1954">
        <w:t>el-</w:t>
      </w:r>
      <w:r>
        <w:t>19 devices ignore the unknown par</w:t>
      </w:r>
      <w:r w:rsidRPr="00AB7813">
        <w:t>t.</w:t>
      </w:r>
      <w:r w:rsidR="004C0885" w:rsidRPr="004C0885">
        <w:t xml:space="preserve"> </w:t>
      </w:r>
      <w:r w:rsidR="004C0885">
        <w:t>(Already covered by post-email summary)</w:t>
      </w:r>
    </w:p>
    <w:p w14:paraId="7DE476BC" w14:textId="197F2436" w:rsidR="00E7595F" w:rsidRDefault="00336ECE">
      <w:pPr>
        <w:pStyle w:val="Heading3"/>
      </w:pPr>
      <w:r>
        <w:t>2.</w:t>
      </w:r>
      <w:r w:rsidR="00366ABE">
        <w:t>4</w:t>
      </w:r>
      <w:r>
        <w:t>.2</w:t>
      </w:r>
      <w:r>
        <w:tab/>
      </w:r>
      <w:r w:rsidR="00DE66A3">
        <w:t>Indication</w:t>
      </w:r>
      <w:r>
        <w:t xml:space="preserve"> </w:t>
      </w:r>
      <w:r w:rsidR="00366ABE">
        <w:t>for future extension</w:t>
      </w:r>
    </w:p>
    <w:p w14:paraId="0B012504" w14:textId="03521696" w:rsidR="00E7595F" w:rsidRDefault="00336ECE">
      <w:r>
        <w:t>As analysed in Section 2.2.1, for Msg2, NACK Feedback, and R2D Upper Layer data transfer messages, adding Rel-20 additional content at the end of MAC PDU is not supported. Hence, for future extension of these messages, only containing one R</w:t>
      </w:r>
      <w:r w:rsidR="00DE66A3">
        <w:t>(release)</w:t>
      </w:r>
      <w:r>
        <w:t xml:space="preserve"> field is supported.</w:t>
      </w:r>
      <w:r w:rsidR="00DE66A3">
        <w:t xml:space="preserve"> In this release, the R field is set to 0, and if R</w:t>
      </w:r>
      <w:r w:rsidR="00DD643A">
        <w:t>el-</w:t>
      </w:r>
      <w:r w:rsidR="00DE66A3">
        <w:t>19 device receives a message with this R field set to 1, the device shall ignore the whole message as the format of the same message type can be redefined in later release</w:t>
      </w:r>
      <w:r w:rsidR="00DD643A">
        <w:t>s</w:t>
      </w:r>
      <w:r w:rsidR="00DE66A3">
        <w:t>. This is a safe-guard mechanism</w:t>
      </w:r>
      <w:r w:rsidR="00DD643A">
        <w:t>,</w:t>
      </w:r>
      <w:r w:rsidR="00DE66A3">
        <w:t xml:space="preserve"> considering anyway</w:t>
      </w:r>
      <w:r w:rsidR="00DD643A">
        <w:t xml:space="preserve"> that</w:t>
      </w:r>
      <w:r w:rsidR="00DE66A3">
        <w:t xml:space="preserve"> there are some bits left for padding to the byte boundary</w:t>
      </w:r>
      <w:r w:rsidR="00DD643A">
        <w:t>,</w:t>
      </w:r>
      <w:r w:rsidR="00DE66A3">
        <w:t xml:space="preserve"> as discussed in 2.3. We can take one bit from the reserved bits to act as release indication, and others are considered as normal reserved bits (R</w:t>
      </w:r>
      <w:r w:rsidR="00DD643A">
        <w:t>el-</w:t>
      </w:r>
      <w:r w:rsidR="00DE66A3">
        <w:t>19 device ignore the values of reserved bits).</w:t>
      </w:r>
    </w:p>
    <w:p w14:paraId="45F5BD08" w14:textId="0AE1FCD2" w:rsidR="00E7595F" w:rsidRDefault="00336ECE">
      <w:pPr>
        <w:pStyle w:val="Proposal-HW"/>
      </w:pPr>
      <w:r>
        <w:t>Proposal 8a:</w:t>
      </w:r>
      <w:r>
        <w:tab/>
      </w:r>
      <w:r w:rsidR="00FA6332">
        <w:t xml:space="preserve">(Issue 4-5) </w:t>
      </w:r>
      <w:r w:rsidR="00D967F1">
        <w:t>Introduce</w:t>
      </w:r>
      <w:r>
        <w:t xml:space="preserve"> </w:t>
      </w:r>
      <w:r w:rsidR="00D967F1">
        <w:t>a</w:t>
      </w:r>
      <w:r>
        <w:t xml:space="preserve"> R</w:t>
      </w:r>
      <w:r w:rsidR="00DE66A3">
        <w:t>(release)</w:t>
      </w:r>
      <w:r>
        <w:t xml:space="preserve"> field in Msg2, NACK feedback, and R2D upper layer data messages</w:t>
      </w:r>
      <w:r w:rsidR="004D1937">
        <w:t xml:space="preserve"> as in Paging message, i.e., Rel-19 device receives a message with this R field set to 1, the device shall ignore the whole message</w:t>
      </w:r>
      <w:r>
        <w:t>.</w:t>
      </w:r>
      <w:r w:rsidR="004C0885" w:rsidRPr="004C0885">
        <w:t xml:space="preserve"> </w:t>
      </w:r>
      <w:r w:rsidR="004C0885">
        <w:t>(Already covered by post-email summary)</w:t>
      </w:r>
    </w:p>
    <w:p w14:paraId="60446C0D" w14:textId="7166234E" w:rsidR="00E7595F" w:rsidRDefault="00336ECE">
      <w:pPr>
        <w:jc w:val="both"/>
      </w:pPr>
      <w:r>
        <w:t xml:space="preserve">Besides, there is no need to </w:t>
      </w:r>
      <w:r w:rsidR="00DE66A3">
        <w:t>reserve</w:t>
      </w:r>
      <w:r>
        <w:t xml:space="preserve"> an R field in the Access Trigger message for future extension, the future-release content can be directly added at the end of MAC PDU</w:t>
      </w:r>
      <w:r w:rsidR="00DD643A">
        <w:t>,</w:t>
      </w:r>
      <w:r>
        <w:t xml:space="preserve"> which is ignored by Rel-19 devices.</w:t>
      </w:r>
    </w:p>
    <w:p w14:paraId="3BF21EE4" w14:textId="34F76610" w:rsidR="00E7595F" w:rsidRDefault="00336ECE">
      <w:pPr>
        <w:pStyle w:val="Proposal-HW"/>
        <w:rPr>
          <w:rFonts w:eastAsia="Malgun Gothic"/>
          <w:lang w:eastAsia="de-DE"/>
        </w:rPr>
      </w:pPr>
      <w:r>
        <w:t>Proposal 8b:</w:t>
      </w:r>
      <w:r>
        <w:tab/>
      </w:r>
      <w:r w:rsidR="00FA6332">
        <w:t xml:space="preserve">(Issue 4-5) </w:t>
      </w:r>
      <w:r>
        <w:t xml:space="preserve">No need of an R field in Access Trigger message. </w:t>
      </w:r>
      <w:r w:rsidR="004C0885">
        <w:t>(Already covered by post-email summary)</w:t>
      </w:r>
    </w:p>
    <w:p w14:paraId="5297E772" w14:textId="77777777" w:rsidR="00E7595F" w:rsidRDefault="00336EC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2896D95B" w14:textId="77777777" w:rsidR="00E7595F" w:rsidRDefault="00336ECE">
      <w:pPr>
        <w:textAlignment w:val="auto"/>
        <w:rPr>
          <w:lang w:eastAsia="en-GB"/>
        </w:rPr>
      </w:pPr>
      <w:r>
        <w:rPr>
          <w:lang w:eastAsia="en-GB"/>
        </w:rPr>
        <w:t>This contribution makes the following proposals:</w:t>
      </w:r>
    </w:p>
    <w:p w14:paraId="6E04FE02" w14:textId="77777777" w:rsidR="009572D9" w:rsidRDefault="009572D9">
      <w:pPr>
        <w:pStyle w:val="Observation-HW"/>
      </w:pPr>
      <w:r>
        <w:t>Observation 1:</w:t>
      </w:r>
      <w:r>
        <w:tab/>
        <w:t>The FFS (on a new R2D message for early AS ID release) is only for CBRA, assuming device releases AS ID upon paging in CFRA.</w:t>
      </w:r>
    </w:p>
    <w:p w14:paraId="389337D8" w14:textId="78E21682" w:rsidR="009572D9" w:rsidRDefault="009572D9" w:rsidP="009572D9">
      <w:pPr>
        <w:pStyle w:val="Observation-HW"/>
      </w:pPr>
      <w:r>
        <w:t>Observation 2:</w:t>
      </w:r>
      <w:r>
        <w:tab/>
        <w:t>Although the “More Data Indication” field has been agreed during the segmentation discussion, it needs to cover non-segmentation case if present, which means this indication is not specific to segmented MAC PDUs.</w:t>
      </w:r>
    </w:p>
    <w:p w14:paraId="0491726F" w14:textId="77777777" w:rsidR="00AB7813" w:rsidRDefault="00AB7813" w:rsidP="00AB7813">
      <w:pPr>
        <w:pStyle w:val="Observation-HW"/>
      </w:pPr>
      <w:r>
        <w:t>Observation 3:</w:t>
      </w:r>
      <w:r>
        <w:tab/>
        <w:t xml:space="preserve">(Issue 3-5) The SDU length field has two spare values {126, 127 </w:t>
      </w:r>
      <w:proofErr w:type="gramStart"/>
      <w:r>
        <w:t>byte</w:t>
      </w:r>
      <w:proofErr w:type="gramEnd"/>
      <w:r>
        <w:t>}, which exceed the PHY upper bound of 125 bytes.</w:t>
      </w:r>
    </w:p>
    <w:p w14:paraId="6AB736E6" w14:textId="77777777" w:rsidR="00AB7813" w:rsidRDefault="00AB7813" w:rsidP="00AB7813">
      <w:pPr>
        <w:pStyle w:val="Observation-HW"/>
      </w:pPr>
      <w:r>
        <w:lastRenderedPageBreak/>
        <w:t>Observation 4:</w:t>
      </w:r>
      <w:r>
        <w:tab/>
        <w:t xml:space="preserve">Reserved value “1111111” of the SDU length field can be used to indicate the possible future D2R new message type. </w:t>
      </w:r>
    </w:p>
    <w:p w14:paraId="16E51091" w14:textId="77777777" w:rsidR="00AB7813" w:rsidRDefault="00AB7813" w:rsidP="00AB7813">
      <w:pPr>
        <w:pStyle w:val="Observation-HW"/>
      </w:pPr>
      <w:r>
        <w:t>Observation 5:</w:t>
      </w:r>
      <w:r>
        <w:tab/>
        <w:t>Some device implementation may use the R2D</w:t>
      </w:r>
      <w:r>
        <w:rPr>
          <w:bCs/>
        </w:rPr>
        <w:t xml:space="preserve"> </w:t>
      </w:r>
      <w:r>
        <w:t>TBS information to determine the CRC length (16-bit CRC if TBS&gt;24bits; 6-bit CRC otherwise).</w:t>
      </w:r>
    </w:p>
    <w:p w14:paraId="540FDAC4" w14:textId="77777777" w:rsidR="00AB7813" w:rsidRDefault="00AB7813" w:rsidP="00AB7813">
      <w:pPr>
        <w:pStyle w:val="Observation-HW"/>
      </w:pPr>
      <w:r>
        <w:t>Observation 6:</w:t>
      </w:r>
      <w:r>
        <w:tab/>
        <w:t>RAN1 concluded it as implementation/unspecified on how to use TBS to determine the end of R2D.</w:t>
      </w:r>
    </w:p>
    <w:p w14:paraId="2B3F750E" w14:textId="4E8B5FDB" w:rsidR="00AB7813" w:rsidRDefault="00AB7813" w:rsidP="00AB7813">
      <w:pPr>
        <w:pStyle w:val="Observation-HW"/>
      </w:pPr>
      <w:r>
        <w:t>Observation 7:</w:t>
      </w:r>
      <w:r>
        <w:tab/>
        <w:t xml:space="preserve">If there is any device-1 Rel-20 enhancement, it may only impact A-IoT Paging and Access Trigger messages: </w:t>
      </w:r>
    </w:p>
    <w:p w14:paraId="3C7A598D" w14:textId="77777777" w:rsidR="00AB7813" w:rsidRDefault="00AB7813" w:rsidP="00AB7813">
      <w:pPr>
        <w:pStyle w:val="Sub-bulletofproposal"/>
        <w:numPr>
          <w:ilvl w:val="2"/>
          <w:numId w:val="7"/>
        </w:numPr>
        <w:ind w:leftChars="0" w:firstLineChars="0"/>
      </w:pPr>
      <w:r>
        <w:t>A-IoT Paging with multiple device IDs;</w:t>
      </w:r>
    </w:p>
    <w:p w14:paraId="3CCA4A4B" w14:textId="77777777" w:rsidR="00AB7813" w:rsidRDefault="00AB7813" w:rsidP="00AB7813">
      <w:pPr>
        <w:pStyle w:val="Sub-bulletofproposal"/>
        <w:numPr>
          <w:ilvl w:val="2"/>
          <w:numId w:val="7"/>
        </w:numPr>
        <w:ind w:leftChars="0" w:firstLineChars="0"/>
      </w:pPr>
      <w:r>
        <w:t>Multiple readers’ scenario for indoor with Reader ID/transaction ID in A-IoT Paging/Access Trigger message.</w:t>
      </w:r>
    </w:p>
    <w:p w14:paraId="2717A27B" w14:textId="77777777" w:rsidR="00AB7813" w:rsidRDefault="00AB7813" w:rsidP="00AB7813">
      <w:pPr>
        <w:pStyle w:val="Observation-HW"/>
      </w:pPr>
      <w:r>
        <w:t>Observation 8:</w:t>
      </w:r>
      <w:r>
        <w:tab/>
        <w:t>RAN2 only need to consider paging and Access Trigger messages, rather than other R2D messages, in forward compatibility considerations. Otherwise “SDU length” in R2D upper layer command and “number of AS ID” in NACK feedback may be needed.</w:t>
      </w:r>
    </w:p>
    <w:p w14:paraId="1486705E" w14:textId="77777777" w:rsidR="00AB7813" w:rsidRDefault="00AB7813" w:rsidP="009572D9">
      <w:pPr>
        <w:pStyle w:val="Observation-HW"/>
      </w:pPr>
    </w:p>
    <w:p w14:paraId="43A18470" w14:textId="327CD018" w:rsidR="00E7595F" w:rsidRDefault="009572D9">
      <w:pPr>
        <w:textAlignment w:val="auto"/>
        <w:rPr>
          <w:i/>
          <w:color w:val="FF0000"/>
          <w:u w:val="single"/>
          <w:lang w:eastAsia="en-GB"/>
        </w:rPr>
      </w:pPr>
      <w:r w:rsidRPr="009572D9">
        <w:rPr>
          <w:i/>
          <w:color w:val="FF0000"/>
          <w:u w:val="single"/>
          <w:lang w:eastAsia="en-GB"/>
        </w:rPr>
        <w:t>AS ID release (Issue 3-3)</w:t>
      </w:r>
    </w:p>
    <w:p w14:paraId="61506556" w14:textId="397A0CE4" w:rsidR="009572D9" w:rsidRDefault="009572D9" w:rsidP="009572D9">
      <w:pPr>
        <w:pStyle w:val="Proposal-HW"/>
        <w:rPr>
          <w:rFonts w:eastAsia="等线"/>
        </w:rPr>
      </w:pPr>
      <w:r>
        <w:t>Proposal 1:</w:t>
      </w:r>
      <w:r>
        <w:tab/>
        <w:t>(Issue 3-3) There is no further need to introduce a new R2D message for early AS ID release.</w:t>
      </w:r>
      <w:r w:rsidR="004C0885">
        <w:t xml:space="preserve"> (Already covered by post-email summary)</w:t>
      </w:r>
    </w:p>
    <w:p w14:paraId="1EAF26BE" w14:textId="22A9580D" w:rsidR="00E7595F" w:rsidRDefault="009572D9">
      <w:pPr>
        <w:textAlignment w:val="auto"/>
        <w:rPr>
          <w:i/>
          <w:color w:val="FF0000"/>
          <w:u w:val="single"/>
          <w:lang w:eastAsia="en-GB"/>
        </w:rPr>
      </w:pPr>
      <w:r w:rsidRPr="009572D9">
        <w:rPr>
          <w:i/>
          <w:color w:val="FF0000"/>
          <w:u w:val="single"/>
          <w:lang w:eastAsia="en-GB"/>
        </w:rPr>
        <w:t>Data not available case (Issue 3-7)</w:t>
      </w:r>
    </w:p>
    <w:p w14:paraId="5DD7C1C4" w14:textId="77777777" w:rsidR="009572D9" w:rsidRDefault="009572D9" w:rsidP="009572D9">
      <w:pPr>
        <w:pStyle w:val="Proposal-HW"/>
      </w:pPr>
      <w:r>
        <w:t>Proposal 2a:</w:t>
      </w:r>
      <w:r>
        <w:tab/>
        <w:t>(Issue 3-7) RAN2 confirms that more data indication is mandatory</w:t>
      </w:r>
      <w:r>
        <w:rPr>
          <w:color w:val="000000"/>
          <w:sz w:val="26"/>
          <w:szCs w:val="26"/>
        </w:rPr>
        <w:t xml:space="preserve"> </w:t>
      </w:r>
      <w:r>
        <w:t>field</w:t>
      </w:r>
      <w:r w:rsidRPr="00995C0C">
        <w:t xml:space="preserve"> </w:t>
      </w:r>
      <w:r>
        <w:t xml:space="preserve">(as captured in the MAC running CR). </w:t>
      </w:r>
    </w:p>
    <w:p w14:paraId="3931555E" w14:textId="11CF7A79" w:rsidR="009572D9" w:rsidRDefault="009572D9" w:rsidP="009572D9">
      <w:pPr>
        <w:pStyle w:val="Proposal-HW"/>
      </w:pPr>
      <w:r>
        <w:t>Proposal 2b:</w:t>
      </w:r>
      <w:r>
        <w:tab/>
        <w:t>(Issue 3-7) Device sets the value to ‘1’ for More Data Indication field, when the upper layer data is not ready yet, but will be available shortly.</w:t>
      </w:r>
      <w:r w:rsidR="004C0885">
        <w:t xml:space="preserve"> (Already covered by post-email summary)</w:t>
      </w:r>
    </w:p>
    <w:p w14:paraId="3E72685C" w14:textId="1518515B" w:rsidR="009572D9" w:rsidRDefault="00AB7813" w:rsidP="009572D9">
      <w:pPr>
        <w:textAlignment w:val="auto"/>
        <w:rPr>
          <w:i/>
          <w:color w:val="FF0000"/>
          <w:u w:val="single"/>
          <w:lang w:eastAsia="en-GB"/>
        </w:rPr>
      </w:pPr>
      <w:r w:rsidRPr="00AB7813">
        <w:rPr>
          <w:i/>
          <w:color w:val="FF0000"/>
          <w:u w:val="single"/>
          <w:lang w:eastAsia="en-GB"/>
        </w:rPr>
        <w:t>CT1 LS</w:t>
      </w:r>
    </w:p>
    <w:p w14:paraId="76D25D79" w14:textId="77777777" w:rsidR="00AB7813" w:rsidRDefault="00AB7813" w:rsidP="00AB7813">
      <w:pPr>
        <w:pStyle w:val="Proposal-HW"/>
      </w:pPr>
      <w:r>
        <w:t>Proposal 3:</w:t>
      </w:r>
      <w:r>
        <w:tab/>
        <w:t>(Issue 3-6) No further RAN2 standard action is needed, regardless the CT1 reply:</w:t>
      </w:r>
    </w:p>
    <w:p w14:paraId="7F58D32E" w14:textId="77777777" w:rsidR="00AB7813" w:rsidRDefault="00AB7813" w:rsidP="00AB7813">
      <w:pPr>
        <w:pStyle w:val="Sub-bulletofproposal"/>
      </w:pPr>
      <w:r>
        <w:t xml:space="preserve">In case CT1 concludes “successful execution” as the D2R response for write, implementation </w:t>
      </w:r>
      <w:proofErr w:type="spellStart"/>
      <w:r>
        <w:t>behaviors</w:t>
      </w:r>
      <w:proofErr w:type="spellEnd"/>
      <w:r>
        <w:t xml:space="preserve"> can be the following:</w:t>
      </w:r>
    </w:p>
    <w:p w14:paraId="0DAA7F07" w14:textId="77777777" w:rsidR="00AB7813" w:rsidRDefault="00AB7813" w:rsidP="00AB7813">
      <w:pPr>
        <w:pStyle w:val="Sub-bulletofproposal"/>
        <w:numPr>
          <w:ilvl w:val="1"/>
          <w:numId w:val="7"/>
        </w:numPr>
        <w:ind w:leftChars="0" w:firstLineChars="0"/>
      </w:pPr>
      <w:r>
        <w:t>Reader sends another R2D upper layer data message later (if D2R with “zero SDU” is received);</w:t>
      </w:r>
    </w:p>
    <w:p w14:paraId="60D7F7FF" w14:textId="77777777" w:rsidR="00AB7813" w:rsidRDefault="00AB7813" w:rsidP="00AB7813">
      <w:pPr>
        <w:pStyle w:val="Sub-bulletofproposal"/>
        <w:numPr>
          <w:ilvl w:val="1"/>
          <w:numId w:val="7"/>
        </w:numPr>
        <w:ind w:leftChars="0" w:firstLineChars="0"/>
      </w:pPr>
      <w:r>
        <w:t>Device implementation avoids the redundant write operation (by identifying the same command), and directly sends the actual D2R response.</w:t>
      </w:r>
    </w:p>
    <w:p w14:paraId="5851E447" w14:textId="77777777" w:rsidR="00AB7813" w:rsidRDefault="00AB7813" w:rsidP="00AB7813">
      <w:pPr>
        <w:pStyle w:val="Sub-bulletofproposal"/>
      </w:pPr>
      <w:r>
        <w:t>Otherwise, no further RAN2 action is needed either (i.e., the issue is addressed by CT1).</w:t>
      </w:r>
    </w:p>
    <w:p w14:paraId="32D2817F" w14:textId="58574B79" w:rsidR="009572D9" w:rsidRPr="00AB7813" w:rsidRDefault="00AB7813" w:rsidP="00AB7813">
      <w:pPr>
        <w:textAlignment w:val="auto"/>
        <w:rPr>
          <w:i/>
          <w:color w:val="FF0000"/>
          <w:u w:val="single"/>
          <w:lang w:eastAsia="en-GB"/>
        </w:rPr>
      </w:pPr>
      <w:r w:rsidRPr="00AB7813">
        <w:rPr>
          <w:i/>
          <w:color w:val="FF0000"/>
          <w:u w:val="single"/>
          <w:lang w:eastAsia="en-GB"/>
        </w:rPr>
        <w:t>D2R message type (Issue 3-5)</w:t>
      </w:r>
    </w:p>
    <w:p w14:paraId="5931DA0B" w14:textId="4E6E5CB3" w:rsidR="00AB7813" w:rsidRDefault="00AB7813" w:rsidP="00AB7813">
      <w:pPr>
        <w:pStyle w:val="Proposal-HW"/>
      </w:pPr>
      <w:r>
        <w:t>Proposal 4:</w:t>
      </w:r>
      <w:r>
        <w:tab/>
        <w:t>(Issue 3-5) Do not introduce D2R message type field.</w:t>
      </w:r>
      <w:r w:rsidR="004C0885">
        <w:t xml:space="preserve"> (Already covered by post-email summary)</w:t>
      </w:r>
    </w:p>
    <w:p w14:paraId="68D10A29" w14:textId="46E95F60" w:rsidR="00AB7813" w:rsidRDefault="00AB7813" w:rsidP="00AB7813">
      <w:pPr>
        <w:pStyle w:val="Proposal-HW"/>
        <w:ind w:left="1268" w:hanging="1268"/>
        <w:rPr>
          <w:b w:val="0"/>
          <w:i/>
          <w:color w:val="FF0000"/>
          <w:u w:val="single"/>
        </w:rPr>
      </w:pPr>
      <w:r w:rsidRPr="00AB7813">
        <w:rPr>
          <w:b w:val="0"/>
          <w:i/>
          <w:color w:val="FF0000"/>
          <w:u w:val="single"/>
        </w:rPr>
        <w:t>R2D message content and R2D TBS (Issue 3-8)</w:t>
      </w:r>
    </w:p>
    <w:p w14:paraId="1A7E3CCE" w14:textId="0136EA98" w:rsidR="00AB7813" w:rsidRDefault="00AB7813" w:rsidP="00AB7813">
      <w:pPr>
        <w:pStyle w:val="Proposal-HW"/>
      </w:pPr>
      <w:r>
        <w:t>Proposal 5a:</w:t>
      </w:r>
      <w:r>
        <w:tab/>
        <w:t>(Issue 3-8) For fixed-size R2D message, there is no need of R2D TBS field, which can be determined directly by message</w:t>
      </w:r>
      <w:r>
        <w:rPr>
          <w:color w:val="000000"/>
        </w:rPr>
        <w:t xml:space="preserve"> </w:t>
      </w:r>
      <w:r>
        <w:t>type instead.</w:t>
      </w:r>
      <w:r w:rsidR="004C0885">
        <w:t xml:space="preserve"> (Already covered by post-email summary)</w:t>
      </w:r>
    </w:p>
    <w:p w14:paraId="37ED531C" w14:textId="32872E80" w:rsidR="00AB7813" w:rsidRDefault="00AB7813" w:rsidP="00AB7813">
      <w:pPr>
        <w:pStyle w:val="Proposal-HW"/>
      </w:pPr>
      <w:r>
        <w:t xml:space="preserve">Proposal 5b: </w:t>
      </w:r>
      <w:r>
        <w:tab/>
        <w:t xml:space="preserve">(Issue 2-3) RAN2 confirms the Access Trigger message is not to be byte-aligned, while other R2D messages are byte-aligned. </w:t>
      </w:r>
      <w:r w:rsidR="004C0885">
        <w:t>(Already covered by post-email summary)</w:t>
      </w:r>
    </w:p>
    <w:p w14:paraId="5365BFCA" w14:textId="77777777" w:rsidR="00AB7813" w:rsidRDefault="00AB7813" w:rsidP="00AB7813">
      <w:pPr>
        <w:pStyle w:val="Proposal-HW"/>
      </w:pPr>
      <w:r>
        <w:t>Proposal 6:</w:t>
      </w:r>
      <w:r>
        <w:tab/>
        <w:t>To ensure byte alignment for the variable size R2D message:</w:t>
      </w:r>
    </w:p>
    <w:p w14:paraId="017B787C" w14:textId="041529A0" w:rsidR="00AB7813" w:rsidRDefault="00AB7813" w:rsidP="00AB7813">
      <w:pPr>
        <w:pStyle w:val="Sub-bulletofproposal"/>
      </w:pPr>
      <w:r>
        <w:t>Paging and Msg2 (v</w:t>
      </w:r>
      <w:r w:rsidRPr="004C61FC">
        <w:t>ariable bit length</w:t>
      </w:r>
      <w:r>
        <w:t>): add one “fill field” in the end of the message (1~7bits).</w:t>
      </w:r>
    </w:p>
    <w:p w14:paraId="78C9E730" w14:textId="77777777" w:rsidR="00AB7813" w:rsidRDefault="00AB7813" w:rsidP="00AB7813">
      <w:pPr>
        <w:pStyle w:val="Sub-bulletofproposal"/>
      </w:pPr>
      <w:r>
        <w:lastRenderedPageBreak/>
        <w:t>NACK feedback (AS ID entry(</w:t>
      </w:r>
      <w:proofErr w:type="spellStart"/>
      <w:r>
        <w:t>ies</w:t>
      </w:r>
      <w:proofErr w:type="spellEnd"/>
      <w:r>
        <w:t>) self-aligns, message type is 3-bit fixed): add 5 R-bit after message type field.</w:t>
      </w:r>
    </w:p>
    <w:p w14:paraId="74B71AD7" w14:textId="77777777" w:rsidR="00AB7813" w:rsidRDefault="00AB7813" w:rsidP="00AB7813">
      <w:pPr>
        <w:pStyle w:val="Sub-bulletofproposal"/>
      </w:pPr>
      <w:r>
        <w:t>R2D upper layer data message (data SDU self-aligns, other fields are of fixed bits): add R bits after CI field to differentiate R-bit number when data SDU or received data size is present. Confirm MAC padding field and SDU length field are not needed.</w:t>
      </w:r>
    </w:p>
    <w:p w14:paraId="5FEF4F41" w14:textId="77777777" w:rsidR="00AB7813" w:rsidRPr="00AB7813" w:rsidRDefault="00AB7813" w:rsidP="00AB7813">
      <w:pPr>
        <w:pStyle w:val="Proposal-HW"/>
        <w:ind w:left="1268" w:hanging="1268"/>
        <w:rPr>
          <w:b w:val="0"/>
          <w:i/>
          <w:color w:val="FF0000"/>
          <w:u w:val="single"/>
        </w:rPr>
      </w:pPr>
      <w:r w:rsidRPr="00AB7813">
        <w:rPr>
          <w:b w:val="0"/>
          <w:i/>
          <w:color w:val="FF0000"/>
          <w:u w:val="single"/>
        </w:rPr>
        <w:t xml:space="preserve">Forward compatibility </w:t>
      </w:r>
    </w:p>
    <w:p w14:paraId="0EAE3AC2" w14:textId="6B9436C3" w:rsidR="00AB7813" w:rsidRDefault="00AB7813" w:rsidP="00AB7813">
      <w:pPr>
        <w:pStyle w:val="Proposal-HW"/>
      </w:pPr>
      <w:r>
        <w:t>Proposal 7:</w:t>
      </w:r>
      <w:r>
        <w:tab/>
        <w:t>(Issue 4-5) Adopt the same handling for paging and Access Trigger message, i.e., R</w:t>
      </w:r>
      <w:r w:rsidR="004F1954">
        <w:t>el-</w:t>
      </w:r>
      <w:r>
        <w:t>19 devices ignore the unknown par</w:t>
      </w:r>
      <w:r w:rsidRPr="00AB7813">
        <w:t>t.</w:t>
      </w:r>
      <w:r w:rsidR="004C0885">
        <w:t xml:space="preserve"> (Already covered by post-email summary)</w:t>
      </w:r>
    </w:p>
    <w:p w14:paraId="535C6C17" w14:textId="1AACB5F8" w:rsidR="004D1937" w:rsidRDefault="004D1937" w:rsidP="004D1937">
      <w:pPr>
        <w:pStyle w:val="Proposal-HW"/>
      </w:pPr>
      <w:r>
        <w:t>Proposal 8a:</w:t>
      </w:r>
      <w:r>
        <w:tab/>
        <w:t>(Issue 4-5) Introduce a R(release) field in Msg2, NACK feedback, and R2D upper layer data messages as in Paging message, i.e., Rel-19 device receives a message with this R field set to 1, the device shall ignore the whole message.</w:t>
      </w:r>
      <w:r w:rsidR="004C0885">
        <w:t xml:space="preserve"> (Already covered by post-email summary)</w:t>
      </w:r>
    </w:p>
    <w:p w14:paraId="2C9AEE09" w14:textId="2FF4C1F6" w:rsidR="00AB7813" w:rsidRDefault="00AB7813" w:rsidP="00AB7813">
      <w:pPr>
        <w:pStyle w:val="Proposal-HW"/>
        <w:rPr>
          <w:rFonts w:eastAsia="Malgun Gothic"/>
          <w:lang w:eastAsia="de-DE"/>
        </w:rPr>
      </w:pPr>
      <w:r>
        <w:t>Proposal 8b:</w:t>
      </w:r>
      <w:r>
        <w:tab/>
        <w:t xml:space="preserve">(Issue 4-5) No need of an R field in Access Trigger message. </w:t>
      </w:r>
      <w:r w:rsidR="004C0885">
        <w:t>(Already covered by post-email summary)</w:t>
      </w:r>
    </w:p>
    <w:p w14:paraId="6D9AE8B5" w14:textId="77777777" w:rsidR="00E7595F" w:rsidRDefault="00336EC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References</w:t>
      </w:r>
    </w:p>
    <w:p w14:paraId="6ADE566C" w14:textId="77777777" w:rsidR="00E7595F" w:rsidRDefault="00336ECE">
      <w:pPr>
        <w:numPr>
          <w:ilvl w:val="0"/>
          <w:numId w:val="14"/>
        </w:numPr>
        <w:overflowPunct/>
        <w:autoSpaceDE/>
        <w:autoSpaceDN/>
        <w:adjustRightInd/>
        <w:textAlignment w:val="auto"/>
        <w:rPr>
          <w:rFonts w:cs="Calibri"/>
          <w:lang w:eastAsia="zh-CN"/>
        </w:rPr>
      </w:pPr>
      <w:r>
        <w:rPr>
          <w:rFonts w:cs="Calibri"/>
          <w:lang w:eastAsia="zh-CN"/>
        </w:rPr>
        <w:t>EPC™ Radio-Frequency Identity Protocols Generation-2 UHF RFID Standard.</w:t>
      </w:r>
    </w:p>
    <w:sectPr w:rsidR="00E7595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000C1" w14:textId="77777777" w:rsidR="00AC7FF7" w:rsidRDefault="00AC7FF7">
      <w:pPr>
        <w:spacing w:before="0" w:after="0"/>
      </w:pPr>
      <w:r>
        <w:separator/>
      </w:r>
    </w:p>
  </w:endnote>
  <w:endnote w:type="continuationSeparator" w:id="0">
    <w:p w14:paraId="6687C9D0" w14:textId="77777777" w:rsidR="00AC7FF7" w:rsidRDefault="00AC7F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8A254" w14:textId="77777777" w:rsidR="00AC7FF7" w:rsidRDefault="00AC7FF7">
      <w:pPr>
        <w:spacing w:before="0" w:after="0"/>
      </w:pPr>
      <w:r>
        <w:separator/>
      </w:r>
    </w:p>
  </w:footnote>
  <w:footnote w:type="continuationSeparator" w:id="0">
    <w:p w14:paraId="1750241D" w14:textId="77777777" w:rsidR="00AC7FF7" w:rsidRDefault="00AC7FF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3B02B0"/>
    <w:multiLevelType w:val="multilevel"/>
    <w:tmpl w:val="0F3B02B0"/>
    <w:lvl w:ilvl="0">
      <w:start w:val="6"/>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822108"/>
    <w:multiLevelType w:val="multilevel"/>
    <w:tmpl w:val="218221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等线"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2" w15:restartNumberingAfterBreak="0">
    <w:nsid w:val="77670E8A"/>
    <w:multiLevelType w:val="multilevel"/>
    <w:tmpl w:val="77670E8A"/>
    <w:lvl w:ilvl="0">
      <w:start w:val="6"/>
      <w:numFmt w:val="bullet"/>
      <w:lvlText w:val="-"/>
      <w:lvlJc w:val="left"/>
      <w:pPr>
        <w:ind w:left="810" w:hanging="360"/>
      </w:pPr>
      <w:rPr>
        <w:rFonts w:ascii="Times New Roman" w:eastAsia="Malgun Gothic"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13" w15:restartNumberingAfterBreak="0">
    <w:nsid w:val="7D034107"/>
    <w:multiLevelType w:val="multilevel"/>
    <w:tmpl w:val="7D034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9"/>
  </w:num>
  <w:num w:numId="4">
    <w:abstractNumId w:val="8"/>
  </w:num>
  <w:num w:numId="5">
    <w:abstractNumId w:val="6"/>
  </w:num>
  <w:num w:numId="6">
    <w:abstractNumId w:val="1"/>
  </w:num>
  <w:num w:numId="7">
    <w:abstractNumId w:val="10"/>
  </w:num>
  <w:num w:numId="8">
    <w:abstractNumId w:val="2"/>
  </w:num>
  <w:num w:numId="9">
    <w:abstractNumId w:val="5"/>
  </w:num>
  <w:num w:numId="10">
    <w:abstractNumId w:val="7"/>
  </w:num>
  <w:num w:numId="11">
    <w:abstractNumId w:val="12"/>
  </w:num>
  <w:num w:numId="12">
    <w:abstractNumId w:val="3"/>
  </w:num>
  <w:num w:numId="13">
    <w:abstractNumId w:val="1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F66D267"/>
    <w:rsid w:val="9277E2F4"/>
    <w:rsid w:val="CF87A32D"/>
    <w:rsid w:val="DD7FA383"/>
    <w:rsid w:val="E58FBC50"/>
    <w:rsid w:val="E67E3393"/>
    <w:rsid w:val="EC8D2A05"/>
    <w:rsid w:val="F67B9F9F"/>
    <w:rsid w:val="F7F76459"/>
    <w:rsid w:val="FBEFB319"/>
    <w:rsid w:val="FDFB8632"/>
    <w:rsid w:val="FDFFB081"/>
    <w:rsid w:val="FFDB98D1"/>
    <w:rsid w:val="FFF6322C"/>
    <w:rsid w:val="FFFB9B31"/>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679"/>
    <w:rsid w:val="00021920"/>
    <w:rsid w:val="00021D86"/>
    <w:rsid w:val="00021F4F"/>
    <w:rsid w:val="000220E9"/>
    <w:rsid w:val="00022549"/>
    <w:rsid w:val="00022D21"/>
    <w:rsid w:val="00022FAA"/>
    <w:rsid w:val="000231CB"/>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4598"/>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4AD"/>
    <w:rsid w:val="00052E62"/>
    <w:rsid w:val="00052FF2"/>
    <w:rsid w:val="00053266"/>
    <w:rsid w:val="00053888"/>
    <w:rsid w:val="00053B45"/>
    <w:rsid w:val="0005480E"/>
    <w:rsid w:val="00054A22"/>
    <w:rsid w:val="0005520B"/>
    <w:rsid w:val="000563F4"/>
    <w:rsid w:val="000564C6"/>
    <w:rsid w:val="000569A8"/>
    <w:rsid w:val="000571A1"/>
    <w:rsid w:val="000618AF"/>
    <w:rsid w:val="0006219E"/>
    <w:rsid w:val="000626C1"/>
    <w:rsid w:val="00063118"/>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0C1C"/>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96E24"/>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4861"/>
    <w:rsid w:val="000B541D"/>
    <w:rsid w:val="000B6738"/>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A2D"/>
    <w:rsid w:val="000D2EAC"/>
    <w:rsid w:val="000D2F66"/>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54AF"/>
    <w:rsid w:val="000E5A20"/>
    <w:rsid w:val="000E71D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BE4"/>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704"/>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578"/>
    <w:rsid w:val="00137704"/>
    <w:rsid w:val="0013780C"/>
    <w:rsid w:val="00137A12"/>
    <w:rsid w:val="00137B82"/>
    <w:rsid w:val="00140CAA"/>
    <w:rsid w:val="001411F4"/>
    <w:rsid w:val="0014154A"/>
    <w:rsid w:val="00141CB2"/>
    <w:rsid w:val="00142281"/>
    <w:rsid w:val="001425FA"/>
    <w:rsid w:val="00142B94"/>
    <w:rsid w:val="00143760"/>
    <w:rsid w:val="00143E2F"/>
    <w:rsid w:val="0014473D"/>
    <w:rsid w:val="00144B12"/>
    <w:rsid w:val="001459DE"/>
    <w:rsid w:val="00147906"/>
    <w:rsid w:val="00147B12"/>
    <w:rsid w:val="00147EC0"/>
    <w:rsid w:val="001513A7"/>
    <w:rsid w:val="001515B7"/>
    <w:rsid w:val="00151BE1"/>
    <w:rsid w:val="001523CD"/>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77C68"/>
    <w:rsid w:val="00180284"/>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29A"/>
    <w:rsid w:val="001943E4"/>
    <w:rsid w:val="00194D6A"/>
    <w:rsid w:val="00194DFB"/>
    <w:rsid w:val="001964F9"/>
    <w:rsid w:val="001971A7"/>
    <w:rsid w:val="00197903"/>
    <w:rsid w:val="00197BAA"/>
    <w:rsid w:val="001A009C"/>
    <w:rsid w:val="001A1594"/>
    <w:rsid w:val="001A2161"/>
    <w:rsid w:val="001A2363"/>
    <w:rsid w:val="001A279D"/>
    <w:rsid w:val="001A40D6"/>
    <w:rsid w:val="001A5C2D"/>
    <w:rsid w:val="001A5C64"/>
    <w:rsid w:val="001A6C29"/>
    <w:rsid w:val="001A6DDC"/>
    <w:rsid w:val="001A6F66"/>
    <w:rsid w:val="001A7EA9"/>
    <w:rsid w:val="001B03BF"/>
    <w:rsid w:val="001B1744"/>
    <w:rsid w:val="001B23AF"/>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C38"/>
    <w:rsid w:val="001E3779"/>
    <w:rsid w:val="001E4FD0"/>
    <w:rsid w:val="001E6631"/>
    <w:rsid w:val="001E7313"/>
    <w:rsid w:val="001E76B9"/>
    <w:rsid w:val="001F1042"/>
    <w:rsid w:val="001F168B"/>
    <w:rsid w:val="001F25B2"/>
    <w:rsid w:val="001F3B9C"/>
    <w:rsid w:val="001F3D41"/>
    <w:rsid w:val="001F4504"/>
    <w:rsid w:val="001F569A"/>
    <w:rsid w:val="001F5CCE"/>
    <w:rsid w:val="001F61AD"/>
    <w:rsid w:val="001F6EBF"/>
    <w:rsid w:val="002007FC"/>
    <w:rsid w:val="00200876"/>
    <w:rsid w:val="00201DF9"/>
    <w:rsid w:val="002021E0"/>
    <w:rsid w:val="00205615"/>
    <w:rsid w:val="00205F37"/>
    <w:rsid w:val="0020658E"/>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4714A"/>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2A9"/>
    <w:rsid w:val="002643FB"/>
    <w:rsid w:val="00265057"/>
    <w:rsid w:val="002654B8"/>
    <w:rsid w:val="0026554D"/>
    <w:rsid w:val="002656A0"/>
    <w:rsid w:val="0026588F"/>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1B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A7BBE"/>
    <w:rsid w:val="002B0786"/>
    <w:rsid w:val="002B07F6"/>
    <w:rsid w:val="002B0E6A"/>
    <w:rsid w:val="002B1534"/>
    <w:rsid w:val="002B1CFE"/>
    <w:rsid w:val="002B1FEE"/>
    <w:rsid w:val="002B2E39"/>
    <w:rsid w:val="002B4741"/>
    <w:rsid w:val="002B4F8F"/>
    <w:rsid w:val="002B7315"/>
    <w:rsid w:val="002B7A66"/>
    <w:rsid w:val="002C0393"/>
    <w:rsid w:val="002C0396"/>
    <w:rsid w:val="002C0552"/>
    <w:rsid w:val="002C0798"/>
    <w:rsid w:val="002C0A5C"/>
    <w:rsid w:val="002C11F8"/>
    <w:rsid w:val="002C1D97"/>
    <w:rsid w:val="002C2452"/>
    <w:rsid w:val="002C267D"/>
    <w:rsid w:val="002C2930"/>
    <w:rsid w:val="002C2DFD"/>
    <w:rsid w:val="002C3162"/>
    <w:rsid w:val="002C46F1"/>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2F7D3A"/>
    <w:rsid w:val="0030039B"/>
    <w:rsid w:val="00303F98"/>
    <w:rsid w:val="003045ED"/>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B6D"/>
    <w:rsid w:val="00317E2A"/>
    <w:rsid w:val="00320EA8"/>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ECE"/>
    <w:rsid w:val="00340B18"/>
    <w:rsid w:val="003423FC"/>
    <w:rsid w:val="003424E3"/>
    <w:rsid w:val="00342B01"/>
    <w:rsid w:val="00343D74"/>
    <w:rsid w:val="00343FE7"/>
    <w:rsid w:val="00344D83"/>
    <w:rsid w:val="00345B7E"/>
    <w:rsid w:val="0034678E"/>
    <w:rsid w:val="00346C5F"/>
    <w:rsid w:val="0035161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EFA"/>
    <w:rsid w:val="00362E3F"/>
    <w:rsid w:val="00363CE4"/>
    <w:rsid w:val="003645D3"/>
    <w:rsid w:val="003646E7"/>
    <w:rsid w:val="00364847"/>
    <w:rsid w:val="00364D21"/>
    <w:rsid w:val="00364E38"/>
    <w:rsid w:val="00365107"/>
    <w:rsid w:val="00365674"/>
    <w:rsid w:val="0036597B"/>
    <w:rsid w:val="00366276"/>
    <w:rsid w:val="003668F2"/>
    <w:rsid w:val="00366ABE"/>
    <w:rsid w:val="003672CB"/>
    <w:rsid w:val="00367F23"/>
    <w:rsid w:val="00370295"/>
    <w:rsid w:val="00371AFC"/>
    <w:rsid w:val="00371C64"/>
    <w:rsid w:val="00371E96"/>
    <w:rsid w:val="00372D09"/>
    <w:rsid w:val="00372DA7"/>
    <w:rsid w:val="00373291"/>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AFD"/>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6B4A"/>
    <w:rsid w:val="003977F5"/>
    <w:rsid w:val="00397F1D"/>
    <w:rsid w:val="003A0413"/>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492"/>
    <w:rsid w:val="00442D7C"/>
    <w:rsid w:val="00443ED1"/>
    <w:rsid w:val="00444C42"/>
    <w:rsid w:val="00444DC5"/>
    <w:rsid w:val="004458C7"/>
    <w:rsid w:val="004459AC"/>
    <w:rsid w:val="0044634B"/>
    <w:rsid w:val="00446D11"/>
    <w:rsid w:val="00446F4B"/>
    <w:rsid w:val="00447D7D"/>
    <w:rsid w:val="004504E3"/>
    <w:rsid w:val="00451251"/>
    <w:rsid w:val="0045146B"/>
    <w:rsid w:val="00451DE5"/>
    <w:rsid w:val="0045236C"/>
    <w:rsid w:val="004523BE"/>
    <w:rsid w:val="004541EF"/>
    <w:rsid w:val="00454751"/>
    <w:rsid w:val="004555F4"/>
    <w:rsid w:val="00455FED"/>
    <w:rsid w:val="00456453"/>
    <w:rsid w:val="00456666"/>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B9"/>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5CF"/>
    <w:rsid w:val="004B3677"/>
    <w:rsid w:val="004B36C6"/>
    <w:rsid w:val="004B384F"/>
    <w:rsid w:val="004B3D68"/>
    <w:rsid w:val="004B3EE3"/>
    <w:rsid w:val="004B4070"/>
    <w:rsid w:val="004B4A94"/>
    <w:rsid w:val="004B4ACE"/>
    <w:rsid w:val="004B5556"/>
    <w:rsid w:val="004B651F"/>
    <w:rsid w:val="004B7C2C"/>
    <w:rsid w:val="004C0885"/>
    <w:rsid w:val="004C0EBE"/>
    <w:rsid w:val="004C1629"/>
    <w:rsid w:val="004C1825"/>
    <w:rsid w:val="004C369C"/>
    <w:rsid w:val="004C4670"/>
    <w:rsid w:val="004C4C61"/>
    <w:rsid w:val="004C50C3"/>
    <w:rsid w:val="004C60F2"/>
    <w:rsid w:val="004C61FC"/>
    <w:rsid w:val="004C6650"/>
    <w:rsid w:val="004C67BC"/>
    <w:rsid w:val="004C69D7"/>
    <w:rsid w:val="004D193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954"/>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219B"/>
    <w:rsid w:val="005527D2"/>
    <w:rsid w:val="005543ED"/>
    <w:rsid w:val="00555796"/>
    <w:rsid w:val="005559F1"/>
    <w:rsid w:val="005567E9"/>
    <w:rsid w:val="005575A4"/>
    <w:rsid w:val="00557B2D"/>
    <w:rsid w:val="00557CC6"/>
    <w:rsid w:val="0056012F"/>
    <w:rsid w:val="00560741"/>
    <w:rsid w:val="00560813"/>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59D2"/>
    <w:rsid w:val="00586273"/>
    <w:rsid w:val="005866C4"/>
    <w:rsid w:val="00586971"/>
    <w:rsid w:val="005872C3"/>
    <w:rsid w:val="0058764A"/>
    <w:rsid w:val="00587DE6"/>
    <w:rsid w:val="00590A37"/>
    <w:rsid w:val="00591D45"/>
    <w:rsid w:val="00591EDD"/>
    <w:rsid w:val="0059323A"/>
    <w:rsid w:val="005934F8"/>
    <w:rsid w:val="00593C76"/>
    <w:rsid w:val="0059423D"/>
    <w:rsid w:val="005943EC"/>
    <w:rsid w:val="005950FD"/>
    <w:rsid w:val="005957AF"/>
    <w:rsid w:val="00596BD8"/>
    <w:rsid w:val="00597213"/>
    <w:rsid w:val="0059748B"/>
    <w:rsid w:val="00597C49"/>
    <w:rsid w:val="00597F5D"/>
    <w:rsid w:val="005A0998"/>
    <w:rsid w:val="005A0AEB"/>
    <w:rsid w:val="005A150C"/>
    <w:rsid w:val="005A2A00"/>
    <w:rsid w:val="005A35E5"/>
    <w:rsid w:val="005A425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2214"/>
    <w:rsid w:val="00602660"/>
    <w:rsid w:val="00603090"/>
    <w:rsid w:val="006034F8"/>
    <w:rsid w:val="00603844"/>
    <w:rsid w:val="00603C85"/>
    <w:rsid w:val="006045C1"/>
    <w:rsid w:val="00605EAF"/>
    <w:rsid w:val="0060671F"/>
    <w:rsid w:val="00606D87"/>
    <w:rsid w:val="00610091"/>
    <w:rsid w:val="006116B8"/>
    <w:rsid w:val="00611D48"/>
    <w:rsid w:val="006131B9"/>
    <w:rsid w:val="00613E90"/>
    <w:rsid w:val="006149D3"/>
    <w:rsid w:val="00614FDF"/>
    <w:rsid w:val="006150FF"/>
    <w:rsid w:val="00615323"/>
    <w:rsid w:val="00615791"/>
    <w:rsid w:val="00616085"/>
    <w:rsid w:val="0061694C"/>
    <w:rsid w:val="00621F50"/>
    <w:rsid w:val="006220FF"/>
    <w:rsid w:val="00622F11"/>
    <w:rsid w:val="00626D9F"/>
    <w:rsid w:val="00626F34"/>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4719E"/>
    <w:rsid w:val="006510C2"/>
    <w:rsid w:val="00651478"/>
    <w:rsid w:val="00651A98"/>
    <w:rsid w:val="006529E3"/>
    <w:rsid w:val="006529EB"/>
    <w:rsid w:val="00652B5F"/>
    <w:rsid w:val="00652BED"/>
    <w:rsid w:val="0065347E"/>
    <w:rsid w:val="00653833"/>
    <w:rsid w:val="00654346"/>
    <w:rsid w:val="006544D2"/>
    <w:rsid w:val="00655289"/>
    <w:rsid w:val="006565F7"/>
    <w:rsid w:val="00656705"/>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3681"/>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4A56"/>
    <w:rsid w:val="006A55E7"/>
    <w:rsid w:val="006A5822"/>
    <w:rsid w:val="006A62FB"/>
    <w:rsid w:val="006A64B5"/>
    <w:rsid w:val="006A6D3F"/>
    <w:rsid w:val="006A6D7B"/>
    <w:rsid w:val="006A6FFF"/>
    <w:rsid w:val="006A77D3"/>
    <w:rsid w:val="006A78DC"/>
    <w:rsid w:val="006B0D8F"/>
    <w:rsid w:val="006B0E73"/>
    <w:rsid w:val="006B1CA9"/>
    <w:rsid w:val="006B1D59"/>
    <w:rsid w:val="006B1F42"/>
    <w:rsid w:val="006B2331"/>
    <w:rsid w:val="006B2334"/>
    <w:rsid w:val="006B25F0"/>
    <w:rsid w:val="006B290B"/>
    <w:rsid w:val="006B29CD"/>
    <w:rsid w:val="006B2B57"/>
    <w:rsid w:val="006B3D8E"/>
    <w:rsid w:val="006B5124"/>
    <w:rsid w:val="006B6A08"/>
    <w:rsid w:val="006B6D14"/>
    <w:rsid w:val="006B6EB3"/>
    <w:rsid w:val="006B7085"/>
    <w:rsid w:val="006B737C"/>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0A55"/>
    <w:rsid w:val="006F10FD"/>
    <w:rsid w:val="006F1DE2"/>
    <w:rsid w:val="006F1FFD"/>
    <w:rsid w:val="006F22DC"/>
    <w:rsid w:val="006F2759"/>
    <w:rsid w:val="006F3FE8"/>
    <w:rsid w:val="006F41D0"/>
    <w:rsid w:val="006F4C2A"/>
    <w:rsid w:val="006F4C41"/>
    <w:rsid w:val="006F77F0"/>
    <w:rsid w:val="007000B8"/>
    <w:rsid w:val="0070035A"/>
    <w:rsid w:val="00700BBA"/>
    <w:rsid w:val="00700E19"/>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9A3"/>
    <w:rsid w:val="00734A5B"/>
    <w:rsid w:val="00734A9E"/>
    <w:rsid w:val="00734E4F"/>
    <w:rsid w:val="00734E7C"/>
    <w:rsid w:val="0073574E"/>
    <w:rsid w:val="00736829"/>
    <w:rsid w:val="0074103F"/>
    <w:rsid w:val="00741BD5"/>
    <w:rsid w:val="0074278D"/>
    <w:rsid w:val="0074297F"/>
    <w:rsid w:val="007439BC"/>
    <w:rsid w:val="00743A41"/>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A99"/>
    <w:rsid w:val="00780C53"/>
    <w:rsid w:val="0078179A"/>
    <w:rsid w:val="007818B4"/>
    <w:rsid w:val="00781F0F"/>
    <w:rsid w:val="00782025"/>
    <w:rsid w:val="00782B7E"/>
    <w:rsid w:val="00782E23"/>
    <w:rsid w:val="007842DA"/>
    <w:rsid w:val="0078491C"/>
    <w:rsid w:val="00784943"/>
    <w:rsid w:val="00786057"/>
    <w:rsid w:val="0078746F"/>
    <w:rsid w:val="00787A7E"/>
    <w:rsid w:val="00787D63"/>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6D2"/>
    <w:rsid w:val="007D1911"/>
    <w:rsid w:val="007D21F4"/>
    <w:rsid w:val="007D2853"/>
    <w:rsid w:val="007D3321"/>
    <w:rsid w:val="007D33C1"/>
    <w:rsid w:val="007D4241"/>
    <w:rsid w:val="007D4F54"/>
    <w:rsid w:val="007D68BA"/>
    <w:rsid w:val="007D69D9"/>
    <w:rsid w:val="007D6D26"/>
    <w:rsid w:val="007D72B2"/>
    <w:rsid w:val="007D76E9"/>
    <w:rsid w:val="007D7C4D"/>
    <w:rsid w:val="007D7E3B"/>
    <w:rsid w:val="007E0E5E"/>
    <w:rsid w:val="007E232F"/>
    <w:rsid w:val="007E3555"/>
    <w:rsid w:val="007E3A92"/>
    <w:rsid w:val="007E3C1A"/>
    <w:rsid w:val="007E48A6"/>
    <w:rsid w:val="007E51BF"/>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63C"/>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54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29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C6A"/>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044"/>
    <w:rsid w:val="008772D0"/>
    <w:rsid w:val="00877872"/>
    <w:rsid w:val="00877E95"/>
    <w:rsid w:val="0088060D"/>
    <w:rsid w:val="00881103"/>
    <w:rsid w:val="00881171"/>
    <w:rsid w:val="00881751"/>
    <w:rsid w:val="00882B7F"/>
    <w:rsid w:val="00882BFB"/>
    <w:rsid w:val="00883F8C"/>
    <w:rsid w:val="00884442"/>
    <w:rsid w:val="008854BB"/>
    <w:rsid w:val="0088551F"/>
    <w:rsid w:val="00885F6B"/>
    <w:rsid w:val="008865DC"/>
    <w:rsid w:val="008866B5"/>
    <w:rsid w:val="00886A28"/>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1D"/>
    <w:rsid w:val="008B05CB"/>
    <w:rsid w:val="008B1243"/>
    <w:rsid w:val="008B2D8F"/>
    <w:rsid w:val="008B48D7"/>
    <w:rsid w:val="008B5937"/>
    <w:rsid w:val="008B61C2"/>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0AEF"/>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4098"/>
    <w:rsid w:val="008E5586"/>
    <w:rsid w:val="008E633B"/>
    <w:rsid w:val="008E6D07"/>
    <w:rsid w:val="008F2818"/>
    <w:rsid w:val="008F360C"/>
    <w:rsid w:val="008F4B86"/>
    <w:rsid w:val="008F56EA"/>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889"/>
    <w:rsid w:val="0090663A"/>
    <w:rsid w:val="0090717B"/>
    <w:rsid w:val="00907BDE"/>
    <w:rsid w:val="00912617"/>
    <w:rsid w:val="00912645"/>
    <w:rsid w:val="009128CD"/>
    <w:rsid w:val="0091335F"/>
    <w:rsid w:val="0091348E"/>
    <w:rsid w:val="00913B57"/>
    <w:rsid w:val="0091405D"/>
    <w:rsid w:val="00914BBE"/>
    <w:rsid w:val="00914E4F"/>
    <w:rsid w:val="009159EC"/>
    <w:rsid w:val="0091619B"/>
    <w:rsid w:val="00916A8E"/>
    <w:rsid w:val="0091720E"/>
    <w:rsid w:val="00921064"/>
    <w:rsid w:val="0092239E"/>
    <w:rsid w:val="00923D86"/>
    <w:rsid w:val="00923F0B"/>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4542"/>
    <w:rsid w:val="0095533F"/>
    <w:rsid w:val="00955A30"/>
    <w:rsid w:val="00956088"/>
    <w:rsid w:val="00956C78"/>
    <w:rsid w:val="009572D9"/>
    <w:rsid w:val="009579BC"/>
    <w:rsid w:val="0096064D"/>
    <w:rsid w:val="009613E7"/>
    <w:rsid w:val="00961A5D"/>
    <w:rsid w:val="00962530"/>
    <w:rsid w:val="00962841"/>
    <w:rsid w:val="00962A86"/>
    <w:rsid w:val="00962CD3"/>
    <w:rsid w:val="0096321C"/>
    <w:rsid w:val="009653EA"/>
    <w:rsid w:val="00966459"/>
    <w:rsid w:val="009677C5"/>
    <w:rsid w:val="00967968"/>
    <w:rsid w:val="00970062"/>
    <w:rsid w:val="009700AE"/>
    <w:rsid w:val="009702B9"/>
    <w:rsid w:val="00970659"/>
    <w:rsid w:val="009712BA"/>
    <w:rsid w:val="009714E4"/>
    <w:rsid w:val="009736B4"/>
    <w:rsid w:val="00973743"/>
    <w:rsid w:val="009738A7"/>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59F"/>
    <w:rsid w:val="0098187E"/>
    <w:rsid w:val="00981AED"/>
    <w:rsid w:val="00982682"/>
    <w:rsid w:val="0098276B"/>
    <w:rsid w:val="00982F87"/>
    <w:rsid w:val="00983173"/>
    <w:rsid w:val="00985108"/>
    <w:rsid w:val="00985329"/>
    <w:rsid w:val="0098539A"/>
    <w:rsid w:val="00985905"/>
    <w:rsid w:val="00987159"/>
    <w:rsid w:val="0098739F"/>
    <w:rsid w:val="00987E05"/>
    <w:rsid w:val="00990BA8"/>
    <w:rsid w:val="00992ACF"/>
    <w:rsid w:val="00993052"/>
    <w:rsid w:val="00995671"/>
    <w:rsid w:val="009956D7"/>
    <w:rsid w:val="00995C0C"/>
    <w:rsid w:val="00996BF6"/>
    <w:rsid w:val="0099716F"/>
    <w:rsid w:val="0099730B"/>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3194"/>
    <w:rsid w:val="009B45FC"/>
    <w:rsid w:val="009B4A85"/>
    <w:rsid w:val="009B505F"/>
    <w:rsid w:val="009B556C"/>
    <w:rsid w:val="009B60BD"/>
    <w:rsid w:val="009B6AA5"/>
    <w:rsid w:val="009B7523"/>
    <w:rsid w:val="009B756A"/>
    <w:rsid w:val="009C0528"/>
    <w:rsid w:val="009C0760"/>
    <w:rsid w:val="009C0C3B"/>
    <w:rsid w:val="009C0FCC"/>
    <w:rsid w:val="009C1B79"/>
    <w:rsid w:val="009C2E93"/>
    <w:rsid w:val="009C3769"/>
    <w:rsid w:val="009C4268"/>
    <w:rsid w:val="009C551E"/>
    <w:rsid w:val="009C6396"/>
    <w:rsid w:val="009C675D"/>
    <w:rsid w:val="009C68A0"/>
    <w:rsid w:val="009C6CF1"/>
    <w:rsid w:val="009C7184"/>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46F"/>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5A2"/>
    <w:rsid w:val="00A20DD1"/>
    <w:rsid w:val="00A20FF8"/>
    <w:rsid w:val="00A21E53"/>
    <w:rsid w:val="00A2336E"/>
    <w:rsid w:val="00A23605"/>
    <w:rsid w:val="00A2366C"/>
    <w:rsid w:val="00A241F3"/>
    <w:rsid w:val="00A247C5"/>
    <w:rsid w:val="00A24A2F"/>
    <w:rsid w:val="00A2718D"/>
    <w:rsid w:val="00A27BDD"/>
    <w:rsid w:val="00A30413"/>
    <w:rsid w:val="00A306A9"/>
    <w:rsid w:val="00A31394"/>
    <w:rsid w:val="00A314A2"/>
    <w:rsid w:val="00A32248"/>
    <w:rsid w:val="00A3289B"/>
    <w:rsid w:val="00A32E4C"/>
    <w:rsid w:val="00A3381D"/>
    <w:rsid w:val="00A33F2A"/>
    <w:rsid w:val="00A34450"/>
    <w:rsid w:val="00A34E8A"/>
    <w:rsid w:val="00A36024"/>
    <w:rsid w:val="00A3615E"/>
    <w:rsid w:val="00A36DB2"/>
    <w:rsid w:val="00A40D6F"/>
    <w:rsid w:val="00A41185"/>
    <w:rsid w:val="00A41B87"/>
    <w:rsid w:val="00A422E2"/>
    <w:rsid w:val="00A43A10"/>
    <w:rsid w:val="00A4455B"/>
    <w:rsid w:val="00A46E98"/>
    <w:rsid w:val="00A4769D"/>
    <w:rsid w:val="00A507C3"/>
    <w:rsid w:val="00A509D7"/>
    <w:rsid w:val="00A512B4"/>
    <w:rsid w:val="00A52F2F"/>
    <w:rsid w:val="00A5361E"/>
    <w:rsid w:val="00A53724"/>
    <w:rsid w:val="00A539CA"/>
    <w:rsid w:val="00A54718"/>
    <w:rsid w:val="00A54BB6"/>
    <w:rsid w:val="00A54BEC"/>
    <w:rsid w:val="00A55672"/>
    <w:rsid w:val="00A55E2B"/>
    <w:rsid w:val="00A56307"/>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00D7"/>
    <w:rsid w:val="00A8136A"/>
    <w:rsid w:val="00A82346"/>
    <w:rsid w:val="00A83665"/>
    <w:rsid w:val="00A83CEF"/>
    <w:rsid w:val="00A83D5D"/>
    <w:rsid w:val="00A84A96"/>
    <w:rsid w:val="00A84C08"/>
    <w:rsid w:val="00A86FC4"/>
    <w:rsid w:val="00A9077A"/>
    <w:rsid w:val="00A90CB1"/>
    <w:rsid w:val="00A92FF5"/>
    <w:rsid w:val="00A940FD"/>
    <w:rsid w:val="00A9439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13"/>
    <w:rsid w:val="00AB78A1"/>
    <w:rsid w:val="00AC0282"/>
    <w:rsid w:val="00AC17B7"/>
    <w:rsid w:val="00AC2A25"/>
    <w:rsid w:val="00AC326A"/>
    <w:rsid w:val="00AC336F"/>
    <w:rsid w:val="00AC389E"/>
    <w:rsid w:val="00AC39E0"/>
    <w:rsid w:val="00AC3D3D"/>
    <w:rsid w:val="00AC415B"/>
    <w:rsid w:val="00AC445C"/>
    <w:rsid w:val="00AC4BF6"/>
    <w:rsid w:val="00AC5305"/>
    <w:rsid w:val="00AC5316"/>
    <w:rsid w:val="00AC53D5"/>
    <w:rsid w:val="00AC5BC6"/>
    <w:rsid w:val="00AC61E1"/>
    <w:rsid w:val="00AC7A1D"/>
    <w:rsid w:val="00AC7FF7"/>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0D5E"/>
    <w:rsid w:val="00AE127D"/>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3D1"/>
    <w:rsid w:val="00B1758D"/>
    <w:rsid w:val="00B20DDA"/>
    <w:rsid w:val="00B20FAE"/>
    <w:rsid w:val="00B222CE"/>
    <w:rsid w:val="00B22496"/>
    <w:rsid w:val="00B22F4F"/>
    <w:rsid w:val="00B22FC5"/>
    <w:rsid w:val="00B23E1F"/>
    <w:rsid w:val="00B24AEF"/>
    <w:rsid w:val="00B24BB5"/>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1C3"/>
    <w:rsid w:val="00B50698"/>
    <w:rsid w:val="00B50935"/>
    <w:rsid w:val="00B50DD5"/>
    <w:rsid w:val="00B51BB9"/>
    <w:rsid w:val="00B51FEE"/>
    <w:rsid w:val="00B524B6"/>
    <w:rsid w:val="00B52C31"/>
    <w:rsid w:val="00B54533"/>
    <w:rsid w:val="00B54958"/>
    <w:rsid w:val="00B55A33"/>
    <w:rsid w:val="00B60346"/>
    <w:rsid w:val="00B60BEF"/>
    <w:rsid w:val="00B60D93"/>
    <w:rsid w:val="00B6196D"/>
    <w:rsid w:val="00B61F9C"/>
    <w:rsid w:val="00B62F6D"/>
    <w:rsid w:val="00B63143"/>
    <w:rsid w:val="00B6384F"/>
    <w:rsid w:val="00B63C2A"/>
    <w:rsid w:val="00B65F18"/>
    <w:rsid w:val="00B66665"/>
    <w:rsid w:val="00B66E85"/>
    <w:rsid w:val="00B67D71"/>
    <w:rsid w:val="00B7055B"/>
    <w:rsid w:val="00B706AC"/>
    <w:rsid w:val="00B70934"/>
    <w:rsid w:val="00B709E6"/>
    <w:rsid w:val="00B71987"/>
    <w:rsid w:val="00B720D8"/>
    <w:rsid w:val="00B74872"/>
    <w:rsid w:val="00B74932"/>
    <w:rsid w:val="00B74FAF"/>
    <w:rsid w:val="00B75647"/>
    <w:rsid w:val="00B75700"/>
    <w:rsid w:val="00B757D7"/>
    <w:rsid w:val="00B75957"/>
    <w:rsid w:val="00B77029"/>
    <w:rsid w:val="00B7735D"/>
    <w:rsid w:val="00B7766C"/>
    <w:rsid w:val="00B77E8F"/>
    <w:rsid w:val="00B80830"/>
    <w:rsid w:val="00B810C7"/>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19"/>
    <w:rsid w:val="00B91F2C"/>
    <w:rsid w:val="00B92B2C"/>
    <w:rsid w:val="00B933FB"/>
    <w:rsid w:val="00B9348E"/>
    <w:rsid w:val="00B93635"/>
    <w:rsid w:val="00B93637"/>
    <w:rsid w:val="00B94D5A"/>
    <w:rsid w:val="00B95158"/>
    <w:rsid w:val="00B952F9"/>
    <w:rsid w:val="00B9580D"/>
    <w:rsid w:val="00B96118"/>
    <w:rsid w:val="00B964C9"/>
    <w:rsid w:val="00B96B52"/>
    <w:rsid w:val="00B96BCC"/>
    <w:rsid w:val="00BA3C3D"/>
    <w:rsid w:val="00BA486E"/>
    <w:rsid w:val="00BA50A1"/>
    <w:rsid w:val="00BA58A9"/>
    <w:rsid w:val="00BA5911"/>
    <w:rsid w:val="00BA693A"/>
    <w:rsid w:val="00BA699F"/>
    <w:rsid w:val="00BB02C3"/>
    <w:rsid w:val="00BB09DB"/>
    <w:rsid w:val="00BB1080"/>
    <w:rsid w:val="00BB1163"/>
    <w:rsid w:val="00BB24D4"/>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5EA5"/>
    <w:rsid w:val="00BC619E"/>
    <w:rsid w:val="00BC68F3"/>
    <w:rsid w:val="00BC6F48"/>
    <w:rsid w:val="00BC73A2"/>
    <w:rsid w:val="00BC7C4B"/>
    <w:rsid w:val="00BD0553"/>
    <w:rsid w:val="00BD09F2"/>
    <w:rsid w:val="00BD0CC4"/>
    <w:rsid w:val="00BD1415"/>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188B"/>
    <w:rsid w:val="00BF2967"/>
    <w:rsid w:val="00BF3B4C"/>
    <w:rsid w:val="00BF4B84"/>
    <w:rsid w:val="00BF4C17"/>
    <w:rsid w:val="00BF4F49"/>
    <w:rsid w:val="00BF7796"/>
    <w:rsid w:val="00BF793A"/>
    <w:rsid w:val="00BF7BF2"/>
    <w:rsid w:val="00C003E0"/>
    <w:rsid w:val="00C009AE"/>
    <w:rsid w:val="00C00A5D"/>
    <w:rsid w:val="00C0148E"/>
    <w:rsid w:val="00C02106"/>
    <w:rsid w:val="00C02596"/>
    <w:rsid w:val="00C02BCD"/>
    <w:rsid w:val="00C037BE"/>
    <w:rsid w:val="00C04B21"/>
    <w:rsid w:val="00C05428"/>
    <w:rsid w:val="00C06334"/>
    <w:rsid w:val="00C06A3E"/>
    <w:rsid w:val="00C072E5"/>
    <w:rsid w:val="00C1094E"/>
    <w:rsid w:val="00C10A28"/>
    <w:rsid w:val="00C12159"/>
    <w:rsid w:val="00C1245A"/>
    <w:rsid w:val="00C141C7"/>
    <w:rsid w:val="00C14B4B"/>
    <w:rsid w:val="00C16B9E"/>
    <w:rsid w:val="00C16D34"/>
    <w:rsid w:val="00C178A8"/>
    <w:rsid w:val="00C179DB"/>
    <w:rsid w:val="00C21DCA"/>
    <w:rsid w:val="00C240B1"/>
    <w:rsid w:val="00C2420E"/>
    <w:rsid w:val="00C24743"/>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36DB"/>
    <w:rsid w:val="00C44026"/>
    <w:rsid w:val="00C447A5"/>
    <w:rsid w:val="00C44C99"/>
    <w:rsid w:val="00C44DAB"/>
    <w:rsid w:val="00C44ED6"/>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096C"/>
    <w:rsid w:val="00C611AF"/>
    <w:rsid w:val="00C616EC"/>
    <w:rsid w:val="00C617B6"/>
    <w:rsid w:val="00C61805"/>
    <w:rsid w:val="00C62442"/>
    <w:rsid w:val="00C62946"/>
    <w:rsid w:val="00C62CCB"/>
    <w:rsid w:val="00C62F40"/>
    <w:rsid w:val="00C64484"/>
    <w:rsid w:val="00C66F25"/>
    <w:rsid w:val="00C7004E"/>
    <w:rsid w:val="00C714EA"/>
    <w:rsid w:val="00C72833"/>
    <w:rsid w:val="00C728AB"/>
    <w:rsid w:val="00C72B36"/>
    <w:rsid w:val="00C74F64"/>
    <w:rsid w:val="00C7617E"/>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A7D75"/>
    <w:rsid w:val="00CB0BB7"/>
    <w:rsid w:val="00CB0C54"/>
    <w:rsid w:val="00CB14AB"/>
    <w:rsid w:val="00CB1D26"/>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0F2"/>
    <w:rsid w:val="00CD36C0"/>
    <w:rsid w:val="00CD382D"/>
    <w:rsid w:val="00CD4658"/>
    <w:rsid w:val="00CD57C4"/>
    <w:rsid w:val="00CD5878"/>
    <w:rsid w:val="00CD60F3"/>
    <w:rsid w:val="00CD6276"/>
    <w:rsid w:val="00CD70D9"/>
    <w:rsid w:val="00CD7516"/>
    <w:rsid w:val="00CD7595"/>
    <w:rsid w:val="00CD7CBC"/>
    <w:rsid w:val="00CD7E4D"/>
    <w:rsid w:val="00CD7F77"/>
    <w:rsid w:val="00CE06B0"/>
    <w:rsid w:val="00CE0BB3"/>
    <w:rsid w:val="00CE1A6D"/>
    <w:rsid w:val="00CE1F45"/>
    <w:rsid w:val="00CE243F"/>
    <w:rsid w:val="00CE28EC"/>
    <w:rsid w:val="00CE2C5B"/>
    <w:rsid w:val="00CE2DEC"/>
    <w:rsid w:val="00CE36CF"/>
    <w:rsid w:val="00CE3A8D"/>
    <w:rsid w:val="00CE403C"/>
    <w:rsid w:val="00CE63B5"/>
    <w:rsid w:val="00CE63FE"/>
    <w:rsid w:val="00CE741C"/>
    <w:rsid w:val="00CF032B"/>
    <w:rsid w:val="00CF0B53"/>
    <w:rsid w:val="00CF21A1"/>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7D6"/>
    <w:rsid w:val="00D01C7E"/>
    <w:rsid w:val="00D0241D"/>
    <w:rsid w:val="00D02C24"/>
    <w:rsid w:val="00D02DF0"/>
    <w:rsid w:val="00D02E4D"/>
    <w:rsid w:val="00D02F33"/>
    <w:rsid w:val="00D033C0"/>
    <w:rsid w:val="00D05BDF"/>
    <w:rsid w:val="00D0629C"/>
    <w:rsid w:val="00D0631E"/>
    <w:rsid w:val="00D0650E"/>
    <w:rsid w:val="00D07103"/>
    <w:rsid w:val="00D07927"/>
    <w:rsid w:val="00D10153"/>
    <w:rsid w:val="00D10876"/>
    <w:rsid w:val="00D10A60"/>
    <w:rsid w:val="00D11024"/>
    <w:rsid w:val="00D12DC2"/>
    <w:rsid w:val="00D13946"/>
    <w:rsid w:val="00D13A65"/>
    <w:rsid w:val="00D14176"/>
    <w:rsid w:val="00D157C9"/>
    <w:rsid w:val="00D15B23"/>
    <w:rsid w:val="00D15B31"/>
    <w:rsid w:val="00D160D9"/>
    <w:rsid w:val="00D162FC"/>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744"/>
    <w:rsid w:val="00D33030"/>
    <w:rsid w:val="00D33457"/>
    <w:rsid w:val="00D338F2"/>
    <w:rsid w:val="00D37279"/>
    <w:rsid w:val="00D40914"/>
    <w:rsid w:val="00D40A15"/>
    <w:rsid w:val="00D40F1D"/>
    <w:rsid w:val="00D41AE6"/>
    <w:rsid w:val="00D43473"/>
    <w:rsid w:val="00D435E9"/>
    <w:rsid w:val="00D43798"/>
    <w:rsid w:val="00D43935"/>
    <w:rsid w:val="00D43AF1"/>
    <w:rsid w:val="00D45C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5B0"/>
    <w:rsid w:val="00D62825"/>
    <w:rsid w:val="00D62F02"/>
    <w:rsid w:val="00D63071"/>
    <w:rsid w:val="00D64C70"/>
    <w:rsid w:val="00D651D4"/>
    <w:rsid w:val="00D65454"/>
    <w:rsid w:val="00D6599B"/>
    <w:rsid w:val="00D70C1A"/>
    <w:rsid w:val="00D70E08"/>
    <w:rsid w:val="00D70ED5"/>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5C6"/>
    <w:rsid w:val="00D87E00"/>
    <w:rsid w:val="00D87EEE"/>
    <w:rsid w:val="00D912B0"/>
    <w:rsid w:val="00D9134D"/>
    <w:rsid w:val="00D91405"/>
    <w:rsid w:val="00D919C4"/>
    <w:rsid w:val="00D91BC1"/>
    <w:rsid w:val="00D9248D"/>
    <w:rsid w:val="00D92C7D"/>
    <w:rsid w:val="00D92D20"/>
    <w:rsid w:val="00D93D86"/>
    <w:rsid w:val="00D95463"/>
    <w:rsid w:val="00D967F1"/>
    <w:rsid w:val="00D96C11"/>
    <w:rsid w:val="00D96F4E"/>
    <w:rsid w:val="00D97011"/>
    <w:rsid w:val="00D9791F"/>
    <w:rsid w:val="00D97C63"/>
    <w:rsid w:val="00DA0557"/>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43A"/>
    <w:rsid w:val="00DD6534"/>
    <w:rsid w:val="00DD699C"/>
    <w:rsid w:val="00DD7298"/>
    <w:rsid w:val="00DD788D"/>
    <w:rsid w:val="00DE39D0"/>
    <w:rsid w:val="00DE521E"/>
    <w:rsid w:val="00DE60D0"/>
    <w:rsid w:val="00DE628D"/>
    <w:rsid w:val="00DE66A3"/>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1AD3"/>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68A"/>
    <w:rsid w:val="00E37FDD"/>
    <w:rsid w:val="00E41210"/>
    <w:rsid w:val="00E41F07"/>
    <w:rsid w:val="00E426E3"/>
    <w:rsid w:val="00E42932"/>
    <w:rsid w:val="00E43345"/>
    <w:rsid w:val="00E43507"/>
    <w:rsid w:val="00E439CD"/>
    <w:rsid w:val="00E445C2"/>
    <w:rsid w:val="00E44DB6"/>
    <w:rsid w:val="00E4567C"/>
    <w:rsid w:val="00E46370"/>
    <w:rsid w:val="00E464AA"/>
    <w:rsid w:val="00E46A1C"/>
    <w:rsid w:val="00E47F1E"/>
    <w:rsid w:val="00E5035B"/>
    <w:rsid w:val="00E5169E"/>
    <w:rsid w:val="00E517FE"/>
    <w:rsid w:val="00E51C99"/>
    <w:rsid w:val="00E51EF0"/>
    <w:rsid w:val="00E520AF"/>
    <w:rsid w:val="00E527EF"/>
    <w:rsid w:val="00E54057"/>
    <w:rsid w:val="00E541C6"/>
    <w:rsid w:val="00E54913"/>
    <w:rsid w:val="00E54A4C"/>
    <w:rsid w:val="00E5663E"/>
    <w:rsid w:val="00E56F1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95F"/>
    <w:rsid w:val="00E7625D"/>
    <w:rsid w:val="00E76409"/>
    <w:rsid w:val="00E76694"/>
    <w:rsid w:val="00E76F05"/>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8E"/>
    <w:rsid w:val="00F026F9"/>
    <w:rsid w:val="00F033B1"/>
    <w:rsid w:val="00F03417"/>
    <w:rsid w:val="00F03CE8"/>
    <w:rsid w:val="00F04712"/>
    <w:rsid w:val="00F0479E"/>
    <w:rsid w:val="00F052A9"/>
    <w:rsid w:val="00F05DAE"/>
    <w:rsid w:val="00F05F1C"/>
    <w:rsid w:val="00F0648D"/>
    <w:rsid w:val="00F0691C"/>
    <w:rsid w:val="00F06EA8"/>
    <w:rsid w:val="00F07A6E"/>
    <w:rsid w:val="00F10382"/>
    <w:rsid w:val="00F103C9"/>
    <w:rsid w:val="00F10CE4"/>
    <w:rsid w:val="00F11B4A"/>
    <w:rsid w:val="00F122D6"/>
    <w:rsid w:val="00F128E2"/>
    <w:rsid w:val="00F12FB5"/>
    <w:rsid w:val="00F145E0"/>
    <w:rsid w:val="00F15122"/>
    <w:rsid w:val="00F1542A"/>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53B"/>
    <w:rsid w:val="00F24628"/>
    <w:rsid w:val="00F24827"/>
    <w:rsid w:val="00F25AB6"/>
    <w:rsid w:val="00F25D51"/>
    <w:rsid w:val="00F27003"/>
    <w:rsid w:val="00F27F54"/>
    <w:rsid w:val="00F30D25"/>
    <w:rsid w:val="00F31D6F"/>
    <w:rsid w:val="00F32108"/>
    <w:rsid w:val="00F322A5"/>
    <w:rsid w:val="00F32B60"/>
    <w:rsid w:val="00F32C10"/>
    <w:rsid w:val="00F3318F"/>
    <w:rsid w:val="00F33FC1"/>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6777C"/>
    <w:rsid w:val="00F71051"/>
    <w:rsid w:val="00F717CC"/>
    <w:rsid w:val="00F71BED"/>
    <w:rsid w:val="00F71D7A"/>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7F8B"/>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6332"/>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79E"/>
    <w:rsid w:val="00FC58E5"/>
    <w:rsid w:val="00FC629B"/>
    <w:rsid w:val="00FC6D6B"/>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320A"/>
    <w:rsid w:val="00FE3456"/>
    <w:rsid w:val="00FE53B6"/>
    <w:rsid w:val="00FE5B84"/>
    <w:rsid w:val="00FE5FE5"/>
    <w:rsid w:val="00FE6016"/>
    <w:rsid w:val="00FE6D87"/>
    <w:rsid w:val="00FE7172"/>
    <w:rsid w:val="00FF0737"/>
    <w:rsid w:val="00FF133A"/>
    <w:rsid w:val="00FF360F"/>
    <w:rsid w:val="00FF3771"/>
    <w:rsid w:val="00FF3A7F"/>
    <w:rsid w:val="00FF3BC0"/>
    <w:rsid w:val="00FF60C0"/>
    <w:rsid w:val="00FF640B"/>
    <w:rsid w:val="1FEF81BC"/>
    <w:rsid w:val="2FA951F4"/>
    <w:rsid w:val="3FED3163"/>
    <w:rsid w:val="4FE7DFB2"/>
    <w:rsid w:val="727C3198"/>
    <w:rsid w:val="73DF1907"/>
    <w:rsid w:val="777D404A"/>
    <w:rsid w:val="7885D115"/>
    <w:rsid w:val="7ABFAE99"/>
    <w:rsid w:val="7AD8CA65"/>
    <w:rsid w:val="7BFBD686"/>
    <w:rsid w:val="7C9677EC"/>
    <w:rsid w:val="7CB7657C"/>
    <w:rsid w:val="7E33FAA4"/>
    <w:rsid w:val="7EBDE115"/>
    <w:rsid w:val="7EED2116"/>
    <w:rsid w:val="7F3736A4"/>
    <w:rsid w:val="7FFF7B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89283C"/>
  <w15:docId w15:val="{52999F33-2213-47D9-BEC5-177D07FC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uiPriority="1" w:unhideWhenUsed="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宋体"/>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qFormat/>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character" w:customStyle="1" w:styleId="ListParagraphChar">
    <w:name w:val="List Paragraph Char"/>
    <w:link w:val="ListParagraph"/>
    <w:uiPriority w:val="34"/>
    <w:qFormat/>
    <w:locked/>
    <w:rPr>
      <w:rFonts w:eastAsia="Times New Roman"/>
    </w:rPr>
  </w:style>
  <w:style w:type="table" w:customStyle="1" w:styleId="10">
    <w:name w:val="网格型1"/>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Pr>
      <w:rFonts w:ascii="Arial" w:hAnsi="Arial"/>
      <w:sz w:val="18"/>
      <w:lang w:eastAsia="en-US"/>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E5D8C218-B202-4F26-907A-D9463ACA89E4}">
  <ds:schemaRefs>
    <ds:schemaRef ds:uri="http://schemas.openxmlformats.org/officeDocument/2006/bibliography"/>
  </ds:schemaRefs>
</ds:datastoreItem>
</file>

<file path=customXml/itemProps2.xml><?xml version="1.0" encoding="utf-8"?>
<ds:datastoreItem xmlns:ds="http://schemas.openxmlformats.org/officeDocument/2006/customXml" ds:itemID="{7B99B6E6-F094-412C-B85F-4C9CC49C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4146</Words>
  <Characters>23634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P_R2#130_Rappv6</cp:lastModifiedBy>
  <cp:revision>2</cp:revision>
  <dcterms:created xsi:type="dcterms:W3CDTF">2025-08-15T03:12:00Z</dcterms:created>
  <dcterms:modified xsi:type="dcterms:W3CDTF">2025-08-15T03:12:00Z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1754885064</vt:lpwstr>
  </property>
</Properties>
</file>